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hAnsi="宋体"/>
          <w:b/>
          <w:color w:val="auto"/>
          <w:sz w:val="72"/>
          <w:highlight w:val="none"/>
        </w:rPr>
      </w:pPr>
      <w:r>
        <w:rPr>
          <w:rFonts w:hint="eastAsia" w:ascii="宋体" w:hAnsi="宋体"/>
          <w:b/>
          <w:color w:val="auto"/>
          <w:sz w:val="72"/>
          <w:highlight w:val="none"/>
        </w:rPr>
        <w:t xml:space="preserve">厦 </w:t>
      </w:r>
      <w:bookmarkStart w:id="1" w:name="_GoBack"/>
      <w:bookmarkEnd w:id="1"/>
      <w:r>
        <w:rPr>
          <w:rFonts w:hint="eastAsia" w:ascii="宋体" w:hAnsi="宋体"/>
          <w:b/>
          <w:color w:val="auto"/>
          <w:sz w:val="72"/>
          <w:highlight w:val="none"/>
        </w:rPr>
        <w:t xml:space="preserve">门 市 大 宗 货 物     </w:t>
      </w:r>
    </w:p>
    <w:p>
      <w:pPr>
        <w:jc w:val="center"/>
        <w:rPr>
          <w:rFonts w:ascii="宋体" w:hAnsi="宋体"/>
          <w:b/>
          <w:color w:val="auto"/>
          <w:sz w:val="72"/>
          <w:highlight w:val="none"/>
        </w:rPr>
      </w:pPr>
      <w:r>
        <w:rPr>
          <w:rFonts w:hint="eastAsia" w:ascii="宋体" w:hAnsi="宋体"/>
          <w:b/>
          <w:color w:val="auto"/>
          <w:sz w:val="72"/>
          <w:highlight w:val="none"/>
        </w:rPr>
        <w:t xml:space="preserve">政 府 采 购 项 目 </w:t>
      </w:r>
    </w:p>
    <w:p>
      <w:pPr>
        <w:spacing w:line="360" w:lineRule="auto"/>
        <w:jc w:val="center"/>
        <w:rPr>
          <w:rFonts w:ascii="宋体" w:hAnsi="宋体"/>
          <w:b/>
          <w:color w:val="auto"/>
          <w:sz w:val="72"/>
          <w:highlight w:val="none"/>
        </w:rPr>
      </w:pPr>
      <w:r>
        <w:rPr>
          <w:rFonts w:hint="eastAsia" w:ascii="宋体" w:hAnsi="宋体"/>
          <w:b/>
          <w:color w:val="auto"/>
          <w:sz w:val="72"/>
          <w:highlight w:val="none"/>
        </w:rPr>
        <w:t>招   标   文   件</w:t>
      </w:r>
    </w:p>
    <w:p>
      <w:pPr>
        <w:spacing w:line="360" w:lineRule="auto"/>
        <w:ind w:firstLine="1438" w:firstLineChars="398"/>
        <w:rPr>
          <w:rFonts w:ascii="宋体" w:hAnsi="宋体"/>
          <w:b/>
          <w:color w:val="auto"/>
          <w:sz w:val="36"/>
          <w:highlight w:val="none"/>
        </w:rPr>
      </w:pPr>
    </w:p>
    <w:p>
      <w:pPr>
        <w:spacing w:line="360" w:lineRule="auto"/>
        <w:ind w:firstLine="1438" w:firstLineChars="398"/>
        <w:rPr>
          <w:rFonts w:ascii="宋体" w:hAnsi="宋体"/>
          <w:b/>
          <w:color w:val="auto"/>
          <w:sz w:val="36"/>
          <w:highlight w:val="none"/>
        </w:rPr>
      </w:pPr>
    </w:p>
    <w:p>
      <w:pPr>
        <w:spacing w:line="360" w:lineRule="auto"/>
        <w:ind w:firstLine="1438" w:firstLineChars="398"/>
        <w:rPr>
          <w:rFonts w:ascii="宋体" w:hAnsi="宋体"/>
          <w:b/>
          <w:color w:val="auto"/>
          <w:sz w:val="36"/>
          <w:highlight w:val="none"/>
        </w:rPr>
      </w:pPr>
    </w:p>
    <w:p>
      <w:pPr>
        <w:spacing w:line="360" w:lineRule="auto"/>
        <w:ind w:firstLine="1438" w:firstLineChars="398"/>
        <w:rPr>
          <w:rFonts w:ascii="宋体" w:hAnsi="宋体"/>
          <w:b/>
          <w:color w:val="auto"/>
          <w:sz w:val="36"/>
          <w:highlight w:val="none"/>
        </w:rPr>
      </w:pPr>
    </w:p>
    <w:p>
      <w:pPr>
        <w:spacing w:line="360" w:lineRule="auto"/>
        <w:ind w:firstLine="1438" w:firstLineChars="398"/>
        <w:rPr>
          <w:rFonts w:ascii="宋体" w:hAnsi="宋体"/>
          <w:b/>
          <w:color w:val="auto"/>
          <w:sz w:val="36"/>
          <w:highlight w:val="none"/>
          <w:u w:val="single"/>
        </w:rPr>
      </w:pPr>
      <w:r>
        <w:rPr>
          <w:rFonts w:hint="eastAsia" w:ascii="宋体" w:hAnsi="宋体"/>
          <w:b/>
          <w:color w:val="auto"/>
          <w:sz w:val="36"/>
          <w:highlight w:val="none"/>
        </w:rPr>
        <w:t>招 标 编 号：</w:t>
      </w:r>
      <w:r>
        <w:rPr>
          <w:rFonts w:hint="eastAsia" w:ascii="宋体" w:hAnsi="宋体"/>
          <w:b/>
          <w:color w:val="auto"/>
          <w:sz w:val="36"/>
          <w:highlight w:val="none"/>
          <w:u w:val="single"/>
        </w:rPr>
        <w:t xml:space="preserve">XM2024-DZ0011 </w:t>
      </w:r>
    </w:p>
    <w:p>
      <w:pPr>
        <w:spacing w:line="360" w:lineRule="auto"/>
        <w:ind w:left="3948" w:leftChars="684" w:hanging="2512" w:hangingChars="695"/>
        <w:rPr>
          <w:rFonts w:ascii="宋体" w:hAnsi="宋体"/>
          <w:b/>
          <w:color w:val="auto"/>
          <w:sz w:val="36"/>
          <w:highlight w:val="none"/>
          <w:u w:val="single"/>
        </w:rPr>
      </w:pPr>
      <w:r>
        <w:rPr>
          <w:rFonts w:hint="eastAsia" w:ascii="宋体" w:hAnsi="宋体"/>
          <w:b/>
          <w:color w:val="auto"/>
          <w:sz w:val="36"/>
          <w:highlight w:val="none"/>
        </w:rPr>
        <w:t>项 目 名 称：厦门市第三中学学生宿舍家具采购项目</w:t>
      </w:r>
    </w:p>
    <w:p>
      <w:pPr>
        <w:spacing w:line="360" w:lineRule="auto"/>
        <w:ind w:firstLine="1438" w:firstLineChars="398"/>
        <w:rPr>
          <w:rFonts w:ascii="宋体" w:hAnsi="宋体"/>
          <w:b/>
          <w:color w:val="auto"/>
          <w:sz w:val="36"/>
          <w:highlight w:val="none"/>
        </w:rPr>
      </w:pPr>
    </w:p>
    <w:p>
      <w:pPr>
        <w:spacing w:line="360" w:lineRule="auto"/>
        <w:ind w:firstLine="1438" w:firstLineChars="398"/>
        <w:rPr>
          <w:rFonts w:ascii="宋体" w:hAnsi="宋体"/>
          <w:b/>
          <w:color w:val="auto"/>
          <w:sz w:val="36"/>
          <w:highlight w:val="none"/>
        </w:rPr>
      </w:pPr>
    </w:p>
    <w:p>
      <w:pPr>
        <w:spacing w:line="360" w:lineRule="auto"/>
        <w:ind w:firstLine="1438" w:firstLineChars="398"/>
        <w:rPr>
          <w:rFonts w:ascii="宋体" w:hAnsi="宋体"/>
          <w:b/>
          <w:color w:val="auto"/>
          <w:sz w:val="36"/>
          <w:highlight w:val="none"/>
        </w:rPr>
      </w:pPr>
    </w:p>
    <w:p>
      <w:pPr>
        <w:spacing w:line="360" w:lineRule="auto"/>
        <w:ind w:firstLine="1438" w:firstLineChars="398"/>
        <w:rPr>
          <w:rFonts w:ascii="宋体" w:hAnsi="宋体"/>
          <w:b/>
          <w:color w:val="auto"/>
          <w:sz w:val="36"/>
          <w:highlight w:val="none"/>
        </w:rPr>
      </w:pPr>
    </w:p>
    <w:p>
      <w:pPr>
        <w:spacing w:line="360" w:lineRule="auto"/>
        <w:ind w:firstLine="1438" w:firstLineChars="398"/>
        <w:rPr>
          <w:rFonts w:ascii="宋体" w:hAnsi="宋体"/>
          <w:b/>
          <w:color w:val="auto"/>
          <w:sz w:val="36"/>
          <w:highlight w:val="none"/>
        </w:rPr>
      </w:pPr>
    </w:p>
    <w:p>
      <w:pPr>
        <w:pStyle w:val="7"/>
        <w:spacing w:line="360" w:lineRule="auto"/>
        <w:ind w:firstLine="1438" w:firstLineChars="398"/>
        <w:jc w:val="left"/>
        <w:rPr>
          <w:rFonts w:hAnsi="宋体"/>
          <w:b/>
          <w:color w:val="auto"/>
          <w:spacing w:val="20"/>
          <w:sz w:val="32"/>
          <w:highlight w:val="none"/>
        </w:rPr>
      </w:pPr>
    </w:p>
    <w:p>
      <w:pPr>
        <w:pStyle w:val="7"/>
        <w:spacing w:line="360" w:lineRule="auto"/>
        <w:ind w:firstLine="1438" w:firstLineChars="398"/>
        <w:jc w:val="left"/>
        <w:rPr>
          <w:rFonts w:hAnsi="宋体"/>
          <w:b/>
          <w:bCs/>
          <w:color w:val="auto"/>
          <w:sz w:val="32"/>
          <w:highlight w:val="none"/>
          <w:u w:val="single"/>
        </w:rPr>
      </w:pPr>
      <w:r>
        <w:rPr>
          <w:rFonts w:hint="eastAsia" w:hAnsi="宋体"/>
          <w:b/>
          <w:color w:val="auto"/>
          <w:spacing w:val="20"/>
          <w:sz w:val="32"/>
          <w:highlight w:val="none"/>
        </w:rPr>
        <w:t>使用单位：</w:t>
      </w:r>
      <w:r>
        <w:rPr>
          <w:rFonts w:hint="eastAsia" w:hAnsi="宋体"/>
          <w:b/>
          <w:color w:val="auto"/>
          <w:sz w:val="36"/>
          <w:highlight w:val="none"/>
        </w:rPr>
        <w:t>厦门市第三中学</w:t>
      </w:r>
    </w:p>
    <w:p>
      <w:pPr>
        <w:pStyle w:val="7"/>
        <w:spacing w:line="360" w:lineRule="auto"/>
        <w:ind w:firstLine="1438" w:firstLineChars="398"/>
        <w:jc w:val="left"/>
        <w:rPr>
          <w:rFonts w:hAnsi="宋体"/>
          <w:b/>
          <w:bCs/>
          <w:color w:val="auto"/>
          <w:sz w:val="32"/>
          <w:highlight w:val="none"/>
        </w:rPr>
      </w:pPr>
      <w:r>
        <w:rPr>
          <w:rFonts w:hint="eastAsia" w:hAnsi="宋体"/>
          <w:b/>
          <w:color w:val="auto"/>
          <w:spacing w:val="20"/>
          <w:sz w:val="32"/>
          <w:highlight w:val="none"/>
        </w:rPr>
        <w:t>采购单位：</w:t>
      </w:r>
      <w:r>
        <w:rPr>
          <w:rFonts w:hint="eastAsia" w:hAnsi="宋体"/>
          <w:b/>
          <w:bCs/>
          <w:color w:val="auto"/>
          <w:sz w:val="32"/>
          <w:highlight w:val="none"/>
        </w:rPr>
        <w:t>厦门万翔网络商务有限公司</w:t>
      </w:r>
    </w:p>
    <w:p>
      <w:pPr>
        <w:pStyle w:val="7"/>
        <w:spacing w:line="360" w:lineRule="auto"/>
        <w:ind w:firstLine="1438" w:firstLineChars="398"/>
        <w:jc w:val="left"/>
        <w:rPr>
          <w:rFonts w:hAnsi="宋体"/>
          <w:b/>
          <w:color w:val="auto"/>
          <w:sz w:val="28"/>
          <w:highlight w:val="none"/>
        </w:rPr>
      </w:pPr>
      <w:r>
        <w:rPr>
          <w:rFonts w:hint="eastAsia" w:hAnsi="宋体"/>
          <w:b/>
          <w:color w:val="auto"/>
          <w:spacing w:val="20"/>
          <w:sz w:val="32"/>
          <w:highlight w:val="none"/>
        </w:rPr>
        <w:t>招标代理机构：</w:t>
      </w:r>
      <w:r>
        <w:rPr>
          <w:rFonts w:hint="eastAsia" w:hAnsi="宋体"/>
          <w:b/>
          <w:bCs/>
          <w:color w:val="auto"/>
          <w:sz w:val="32"/>
          <w:highlight w:val="none"/>
        </w:rPr>
        <w:t xml:space="preserve">厦门万翔招标有限公司 </w:t>
      </w:r>
      <w:r>
        <w:rPr>
          <w:rFonts w:hint="eastAsia" w:hAnsi="宋体"/>
          <w:b/>
          <w:color w:val="auto"/>
          <w:spacing w:val="20"/>
          <w:sz w:val="32"/>
          <w:highlight w:val="none"/>
        </w:rPr>
        <w:t xml:space="preserve"> </w:t>
      </w:r>
    </w:p>
    <w:p>
      <w:pPr>
        <w:spacing w:line="360" w:lineRule="auto"/>
        <w:ind w:firstLine="1438" w:firstLineChars="398"/>
        <w:rPr>
          <w:rFonts w:ascii="宋体" w:hAnsi="宋体"/>
          <w:b/>
          <w:color w:val="auto"/>
          <w:sz w:val="36"/>
          <w:highlight w:val="none"/>
        </w:rPr>
      </w:pPr>
    </w:p>
    <w:p>
      <w:pPr>
        <w:pStyle w:val="7"/>
        <w:spacing w:line="360" w:lineRule="auto"/>
        <w:jc w:val="center"/>
        <w:outlineLvl w:val="0"/>
        <w:rPr>
          <w:rFonts w:hAnsi="宋体"/>
          <w:b/>
          <w:color w:val="auto"/>
          <w:sz w:val="32"/>
          <w:highlight w:val="none"/>
        </w:rPr>
      </w:pPr>
      <w:r>
        <w:rPr>
          <w:rFonts w:hint="eastAsia" w:hAnsi="宋体"/>
          <w:b/>
          <w:color w:val="auto"/>
          <w:sz w:val="32"/>
          <w:highlight w:val="none"/>
        </w:rPr>
        <w:t>2024年</w:t>
      </w:r>
    </w:p>
    <w:p>
      <w:pPr>
        <w:pStyle w:val="7"/>
        <w:spacing w:line="360" w:lineRule="auto"/>
        <w:outlineLvl w:val="0"/>
        <w:rPr>
          <w:rFonts w:hAnsi="宋体"/>
          <w:b/>
          <w:color w:val="auto"/>
          <w:sz w:val="32"/>
          <w:highlight w:val="none"/>
        </w:rPr>
      </w:pPr>
    </w:p>
    <w:p>
      <w:pPr>
        <w:jc w:val="center"/>
        <w:rPr>
          <w:rFonts w:ascii="宋体" w:hAnsi="宋体" w:cs="宋体"/>
          <w:b/>
          <w:bCs/>
          <w:color w:val="auto"/>
          <w:sz w:val="32"/>
          <w:szCs w:val="32"/>
          <w:highlight w:val="none"/>
        </w:rPr>
      </w:pPr>
      <w:r>
        <w:rPr>
          <w:rFonts w:hint="eastAsia" w:ascii="宋体" w:hAnsi="宋体" w:cs="宋体"/>
          <w:b/>
          <w:bCs/>
          <w:color w:val="auto"/>
          <w:sz w:val="32"/>
          <w:szCs w:val="32"/>
          <w:highlight w:val="none"/>
        </w:rPr>
        <w:t>关于政府采购信用贷款的提示</w:t>
      </w:r>
    </w:p>
    <w:p>
      <w:pPr>
        <w:jc w:val="center"/>
        <w:rPr>
          <w:rFonts w:ascii="宋体" w:hAnsi="宋体" w:cs="宋体"/>
          <w:b/>
          <w:bCs/>
          <w:color w:val="auto"/>
          <w:sz w:val="32"/>
          <w:szCs w:val="32"/>
          <w:highlight w:val="none"/>
        </w:rPr>
      </w:pPr>
      <w:r>
        <w:rPr>
          <w:rFonts w:hint="eastAsia" w:ascii="宋体" w:hAnsi="宋体" w:cs="宋体"/>
          <w:b/>
          <w:bCs/>
          <w:color w:val="auto"/>
          <w:sz w:val="32"/>
          <w:szCs w:val="32"/>
          <w:highlight w:val="none"/>
        </w:rPr>
        <w:t>（201608版）</w:t>
      </w:r>
    </w:p>
    <w:p>
      <w:pPr>
        <w:rPr>
          <w:rFonts w:ascii="宋体" w:hAnsi="宋体" w:cs="宋体"/>
          <w:color w:val="auto"/>
          <w:sz w:val="24"/>
          <w:szCs w:val="24"/>
          <w:highlight w:val="none"/>
        </w:rPr>
      </w:pP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政府采购项目中标（成交）供应商(若为中小企业)可申请政府采购信用贷款，即中标（成交）供应商可凭中标（成交）通知书向以下金融机构申请政府采购信用融资贷款，由专业担保机构提供担保，或由保险公司为融资提供保险。供应商在参加本项目时，即可与支持政府采购信用贷款的金融机构联系，咨询办理政府采购信用贷款的具体事宜。</w:t>
      </w:r>
    </w:p>
    <w:p>
      <w:pPr>
        <w:spacing w:line="360" w:lineRule="auto"/>
        <w:ind w:firstLine="482" w:firstLineChars="200"/>
        <w:rPr>
          <w:rFonts w:ascii="宋体" w:hAnsi="宋体" w:cs="宋体"/>
          <w:b/>
          <w:bCs/>
          <w:color w:val="auto"/>
          <w:sz w:val="24"/>
          <w:szCs w:val="24"/>
          <w:highlight w:val="none"/>
        </w:rPr>
      </w:pPr>
      <w:r>
        <w:rPr>
          <w:rFonts w:hint="eastAsia" w:ascii="宋体" w:hAnsi="宋体" w:cs="宋体"/>
          <w:b/>
          <w:bCs/>
          <w:color w:val="auto"/>
          <w:sz w:val="24"/>
          <w:szCs w:val="24"/>
          <w:highlight w:val="none"/>
        </w:rPr>
        <w:t xml:space="preserve">有关金融机构联系方式： </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（一）中国建设银行厦门分行：</w:t>
      </w:r>
    </w:p>
    <w:p>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 xml:space="preserve">联系人：魏慧媛   2158595 </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（二）中国光大银行厦门分行：</w:t>
      </w:r>
    </w:p>
    <w:p>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联系人：陈  虹   2283776、13806013400；朱姗姗   2991131、18050082825</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（三）兴业银行厦门分行</w:t>
      </w:r>
    </w:p>
    <w:p>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 xml:space="preserve">联系人：陈小姐  0592-5312509 13599531245 ；高经理  0592-5312350 13850017508 </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（四）厦门市担保有限公司：</w:t>
      </w:r>
    </w:p>
    <w:p>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联系人：陈文辉   5125116；吴龙辉   5120019</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（五）</w:t>
      </w:r>
      <w:r>
        <w:rPr>
          <w:rFonts w:hint="eastAsia" w:ascii="宋体" w:hAnsi="宋体" w:cs="宋体"/>
          <w:color w:val="auto"/>
          <w:sz w:val="24"/>
          <w:szCs w:val="24"/>
          <w:highlight w:val="none"/>
        </w:rPr>
        <w:t xml:space="preserve">厦门银行股份有限公司 </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联系人：张冬梅 13395990009 ；陈韵 13656021986</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以上具体贷款事项，以贷款机构与贷款人最终签订的贷款合同约定为准，贷款人应进一步与贷款金融机构了解详细情况。任何单位和个人均不得干预银企双方开展政府采购信用贷款业务。</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本提示仅作为信息告知，具体贷款事宜以银行等有关金融机构审批为准。</w:t>
      </w:r>
    </w:p>
    <w:p>
      <w:pPr>
        <w:spacing w:line="360" w:lineRule="auto"/>
        <w:ind w:firstLine="480" w:firstLineChars="200"/>
        <w:rPr>
          <w:rFonts w:ascii="宋体" w:hAnsi="宋体" w:cs="宋体"/>
          <w:color w:val="auto"/>
          <w:sz w:val="24"/>
          <w:szCs w:val="24"/>
          <w:highlight w:val="none"/>
        </w:rPr>
      </w:pPr>
    </w:p>
    <w:p>
      <w:pPr>
        <w:spacing w:line="360" w:lineRule="auto"/>
        <w:ind w:firstLine="480" w:firstLineChars="200"/>
        <w:rPr>
          <w:rFonts w:ascii="宋体" w:hAnsi="宋体" w:cs="宋体"/>
          <w:color w:val="auto"/>
          <w:sz w:val="24"/>
          <w:szCs w:val="24"/>
          <w:highlight w:val="none"/>
        </w:rPr>
      </w:pPr>
    </w:p>
    <w:p>
      <w:pPr>
        <w:spacing w:line="360" w:lineRule="auto"/>
        <w:ind w:firstLine="480" w:firstLineChars="200"/>
        <w:rPr>
          <w:rFonts w:ascii="宋体" w:hAnsi="宋体" w:cs="宋体"/>
          <w:color w:val="auto"/>
          <w:sz w:val="24"/>
          <w:szCs w:val="24"/>
          <w:highlight w:val="none"/>
        </w:rPr>
      </w:pPr>
    </w:p>
    <w:p>
      <w:pPr>
        <w:spacing w:line="360" w:lineRule="auto"/>
        <w:ind w:firstLine="480" w:firstLineChars="200"/>
        <w:rPr>
          <w:rFonts w:ascii="宋体" w:hAnsi="宋体" w:cs="宋体"/>
          <w:color w:val="auto"/>
          <w:sz w:val="24"/>
          <w:szCs w:val="24"/>
          <w:highlight w:val="none"/>
        </w:rPr>
      </w:pPr>
    </w:p>
    <w:p>
      <w:pPr>
        <w:spacing w:line="360" w:lineRule="auto"/>
        <w:rPr>
          <w:rFonts w:ascii="宋体" w:hAnsi="宋体" w:cs="宋体"/>
          <w:color w:val="auto"/>
          <w:sz w:val="24"/>
          <w:szCs w:val="24"/>
          <w:highlight w:val="none"/>
        </w:rPr>
      </w:pPr>
    </w:p>
    <w:p>
      <w:pPr>
        <w:pStyle w:val="7"/>
        <w:spacing w:line="360" w:lineRule="auto"/>
        <w:jc w:val="center"/>
        <w:outlineLvl w:val="0"/>
        <w:rPr>
          <w:rFonts w:hAnsi="宋体" w:cs="宋体"/>
          <w:b/>
          <w:bCs/>
          <w:color w:val="auto"/>
          <w:sz w:val="32"/>
          <w:szCs w:val="32"/>
          <w:highlight w:val="none"/>
        </w:rPr>
      </w:pPr>
      <w:r>
        <w:rPr>
          <w:rFonts w:hint="eastAsia" w:hAnsi="宋体" w:cs="宋体"/>
          <w:b/>
          <w:bCs/>
          <w:color w:val="auto"/>
          <w:sz w:val="32"/>
          <w:szCs w:val="32"/>
          <w:highlight w:val="none"/>
        </w:rPr>
        <w:t xml:space="preserve">  目   录</w:t>
      </w:r>
    </w:p>
    <w:p>
      <w:pPr>
        <w:pStyle w:val="3"/>
        <w:snapToGrid w:val="0"/>
        <w:spacing w:line="360" w:lineRule="auto"/>
        <w:ind w:firstLine="0"/>
        <w:rPr>
          <w:rFonts w:ascii="宋体" w:hAnsi="宋体" w:cs="宋体"/>
          <w:color w:val="auto"/>
          <w:sz w:val="24"/>
          <w:szCs w:val="24"/>
          <w:highlight w:val="none"/>
        </w:rPr>
      </w:pPr>
    </w:p>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第一章    投标邀请 …………………………………………………1</w:t>
      </w:r>
    </w:p>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 xml:space="preserve">     投标邀请函…………………………………………………1-1</w:t>
      </w:r>
    </w:p>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第二章    投标人须知  ………………………………………………2</w:t>
      </w:r>
    </w:p>
    <w:p>
      <w:pPr>
        <w:spacing w:line="360" w:lineRule="auto"/>
        <w:ind w:firstLine="240" w:firstLineChars="100"/>
        <w:rPr>
          <w:rFonts w:ascii="宋体" w:hAnsi="宋体" w:cs="宋体"/>
          <w:bCs/>
          <w:color w:val="auto"/>
          <w:sz w:val="24"/>
          <w:szCs w:val="24"/>
          <w:highlight w:val="none"/>
        </w:rPr>
      </w:pPr>
      <w:r>
        <w:rPr>
          <w:rFonts w:hint="eastAsia" w:ascii="宋体" w:hAnsi="宋体" w:cs="宋体"/>
          <w:bCs/>
          <w:color w:val="auto"/>
          <w:sz w:val="24"/>
          <w:szCs w:val="24"/>
          <w:highlight w:val="none"/>
        </w:rPr>
        <w:t xml:space="preserve">投标人须知前附表1、2、3、4 </w:t>
      </w:r>
      <w:r>
        <w:rPr>
          <w:rFonts w:hint="eastAsia" w:ascii="宋体" w:hAnsi="宋体" w:cs="宋体"/>
          <w:color w:val="auto"/>
          <w:sz w:val="24"/>
          <w:szCs w:val="24"/>
          <w:highlight w:val="none"/>
        </w:rPr>
        <w:t>……………………………………2-1-1</w:t>
      </w:r>
    </w:p>
    <w:p>
      <w:pPr>
        <w:spacing w:line="360" w:lineRule="auto"/>
        <w:ind w:firstLine="240" w:firstLineChars="100"/>
        <w:rPr>
          <w:rFonts w:ascii="宋体" w:hAnsi="宋体" w:cs="宋体"/>
          <w:color w:val="auto"/>
          <w:sz w:val="24"/>
          <w:szCs w:val="24"/>
          <w:highlight w:val="none"/>
        </w:rPr>
      </w:pPr>
      <w:r>
        <w:rPr>
          <w:rFonts w:hint="eastAsia" w:ascii="宋体" w:hAnsi="宋体" w:cs="宋体"/>
          <w:color w:val="auto"/>
          <w:sz w:val="24"/>
          <w:szCs w:val="24"/>
          <w:highlight w:val="none"/>
        </w:rPr>
        <w:t>一、 说明 ………………………………………………………2-2-1</w:t>
      </w:r>
    </w:p>
    <w:p>
      <w:pPr>
        <w:spacing w:line="360" w:lineRule="auto"/>
        <w:ind w:firstLine="240" w:firstLineChars="100"/>
        <w:rPr>
          <w:rFonts w:ascii="宋体" w:hAnsi="宋体" w:cs="宋体"/>
          <w:color w:val="auto"/>
          <w:sz w:val="24"/>
          <w:szCs w:val="24"/>
          <w:highlight w:val="none"/>
        </w:rPr>
      </w:pPr>
      <w:r>
        <w:rPr>
          <w:rFonts w:hint="eastAsia" w:ascii="宋体" w:hAnsi="宋体" w:cs="宋体"/>
          <w:color w:val="auto"/>
          <w:sz w:val="24"/>
          <w:szCs w:val="24"/>
          <w:highlight w:val="none"/>
        </w:rPr>
        <w:t>二、 招标文件 …………………………………………………2-2-4</w:t>
      </w:r>
    </w:p>
    <w:p>
      <w:pPr>
        <w:spacing w:line="360" w:lineRule="auto"/>
        <w:ind w:firstLine="240" w:firstLineChars="100"/>
        <w:rPr>
          <w:rFonts w:ascii="宋体" w:hAnsi="宋体" w:cs="宋体"/>
          <w:color w:val="auto"/>
          <w:sz w:val="24"/>
          <w:szCs w:val="24"/>
          <w:highlight w:val="none"/>
        </w:rPr>
      </w:pPr>
      <w:r>
        <w:rPr>
          <w:rFonts w:hint="eastAsia" w:ascii="宋体" w:hAnsi="宋体" w:cs="宋体"/>
          <w:color w:val="auto"/>
          <w:sz w:val="24"/>
          <w:szCs w:val="24"/>
          <w:highlight w:val="none"/>
        </w:rPr>
        <w:t>三、 投标文件的编写 …………………………………………2-2-5</w:t>
      </w:r>
    </w:p>
    <w:p>
      <w:pPr>
        <w:spacing w:line="360" w:lineRule="auto"/>
        <w:ind w:firstLine="240" w:firstLineChars="100"/>
        <w:rPr>
          <w:rFonts w:ascii="宋体" w:hAnsi="宋体" w:cs="宋体"/>
          <w:color w:val="auto"/>
          <w:sz w:val="24"/>
          <w:szCs w:val="24"/>
          <w:highlight w:val="none"/>
        </w:rPr>
      </w:pPr>
      <w:r>
        <w:rPr>
          <w:rFonts w:hint="eastAsia" w:ascii="宋体" w:hAnsi="宋体" w:cs="宋体"/>
          <w:color w:val="auto"/>
          <w:sz w:val="24"/>
          <w:szCs w:val="24"/>
          <w:highlight w:val="none"/>
        </w:rPr>
        <w:t>四、 投标文件的提交 …………………………………………2-2-8</w:t>
      </w:r>
    </w:p>
    <w:p>
      <w:pPr>
        <w:spacing w:line="360" w:lineRule="auto"/>
        <w:ind w:firstLine="240" w:firstLineChars="100"/>
        <w:rPr>
          <w:rFonts w:ascii="宋体" w:hAnsi="宋体" w:cs="宋体"/>
          <w:color w:val="auto"/>
          <w:sz w:val="24"/>
          <w:szCs w:val="24"/>
          <w:highlight w:val="none"/>
        </w:rPr>
      </w:pPr>
      <w:r>
        <w:rPr>
          <w:rFonts w:hint="eastAsia" w:ascii="宋体" w:hAnsi="宋体" w:cs="宋体"/>
          <w:color w:val="auto"/>
          <w:sz w:val="24"/>
          <w:szCs w:val="24"/>
          <w:highlight w:val="none"/>
        </w:rPr>
        <w:t>五、 投标文件的评估和比较 …………………………………2-2-9</w:t>
      </w:r>
    </w:p>
    <w:p>
      <w:pPr>
        <w:spacing w:line="360" w:lineRule="auto"/>
        <w:ind w:firstLine="240" w:firstLineChars="100"/>
        <w:rPr>
          <w:rFonts w:ascii="宋体" w:hAnsi="宋体" w:cs="宋体"/>
          <w:color w:val="auto"/>
          <w:sz w:val="24"/>
          <w:szCs w:val="24"/>
          <w:highlight w:val="none"/>
        </w:rPr>
      </w:pPr>
      <w:r>
        <w:rPr>
          <w:rFonts w:hint="eastAsia" w:ascii="宋体" w:hAnsi="宋体" w:cs="宋体"/>
          <w:color w:val="auto"/>
          <w:sz w:val="24"/>
          <w:szCs w:val="24"/>
          <w:highlight w:val="none"/>
        </w:rPr>
        <w:t>六、 定标与签订合同…………………………………………2-2-12</w:t>
      </w:r>
    </w:p>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第三章    招标内容及要求  ………………………………………3-1</w:t>
      </w:r>
    </w:p>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第四章    政府</w:t>
      </w:r>
      <w:r>
        <w:rPr>
          <w:rFonts w:hint="eastAsia" w:ascii="宋体" w:hAnsi="宋体" w:cs="宋体"/>
          <w:bCs/>
          <w:color w:val="auto"/>
          <w:sz w:val="24"/>
          <w:szCs w:val="24"/>
          <w:highlight w:val="none"/>
        </w:rPr>
        <w:t xml:space="preserve">采购合同 </w:t>
      </w:r>
      <w:r>
        <w:rPr>
          <w:rFonts w:hint="eastAsia" w:ascii="宋体" w:hAnsi="宋体" w:cs="宋体"/>
          <w:color w:val="auto"/>
          <w:sz w:val="24"/>
          <w:szCs w:val="24"/>
          <w:highlight w:val="none"/>
        </w:rPr>
        <w:t>…………………………………………4-1</w:t>
      </w:r>
    </w:p>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第五章    投标文件格式 …………………………………………5-1</w:t>
      </w:r>
    </w:p>
    <w:p>
      <w:pPr>
        <w:pStyle w:val="3"/>
        <w:spacing w:line="360" w:lineRule="auto"/>
        <w:ind w:firstLine="2250" w:firstLineChars="934"/>
        <w:rPr>
          <w:rFonts w:ascii="宋体" w:hAnsi="宋体" w:cs="宋体"/>
          <w:b/>
          <w:color w:val="auto"/>
          <w:sz w:val="24"/>
          <w:szCs w:val="24"/>
          <w:highlight w:val="none"/>
          <w:u w:val="single"/>
        </w:rPr>
        <w:sectPr>
          <w:footerReference r:id="rId5" w:type="first"/>
          <w:headerReference r:id="rId3" w:type="default"/>
          <w:footerReference r:id="rId4" w:type="default"/>
          <w:pgSz w:w="11906" w:h="16838"/>
          <w:pgMar w:top="1440" w:right="1800" w:bottom="1440" w:left="1800" w:header="851" w:footer="992" w:gutter="0"/>
          <w:cols w:space="720" w:num="1"/>
          <w:docGrid w:type="lines" w:linePitch="312" w:charSpace="0"/>
        </w:sectPr>
      </w:pPr>
    </w:p>
    <w:p>
      <w:pPr>
        <w:pStyle w:val="16"/>
        <w:spacing w:line="360" w:lineRule="auto"/>
        <w:jc w:val="center"/>
        <w:rPr>
          <w:rFonts w:hAnsi="宋体" w:cs="宋体"/>
          <w:b/>
          <w:bCs/>
          <w:color w:val="auto"/>
          <w:sz w:val="32"/>
          <w:szCs w:val="32"/>
          <w:highlight w:val="none"/>
        </w:rPr>
      </w:pPr>
      <w:r>
        <w:rPr>
          <w:rFonts w:hint="eastAsia" w:hAnsi="宋体" w:cs="宋体"/>
          <w:b/>
          <w:color w:val="auto"/>
          <w:sz w:val="32"/>
          <w:szCs w:val="32"/>
          <w:highlight w:val="none"/>
        </w:rPr>
        <w:t>第一章  投标邀请函</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受【</w:t>
      </w:r>
      <w:r>
        <w:rPr>
          <w:rFonts w:hint="eastAsia" w:ascii="宋体" w:hAnsi="宋体" w:cs="宋体"/>
          <w:b/>
          <w:color w:val="auto"/>
          <w:sz w:val="24"/>
          <w:szCs w:val="24"/>
          <w:highlight w:val="none"/>
          <w:u w:val="single"/>
        </w:rPr>
        <w:t>厦门万翔网络商务有限公司】</w:t>
      </w:r>
      <w:r>
        <w:rPr>
          <w:rFonts w:hint="eastAsia" w:ascii="宋体" w:hAnsi="宋体" w:cs="宋体"/>
          <w:color w:val="auto"/>
          <w:sz w:val="24"/>
          <w:szCs w:val="24"/>
          <w:highlight w:val="none"/>
        </w:rPr>
        <w:t>委托，</w:t>
      </w:r>
      <w:r>
        <w:rPr>
          <w:rFonts w:hint="eastAsia" w:ascii="宋体" w:hAnsi="宋体" w:cs="宋体"/>
          <w:b/>
          <w:color w:val="auto"/>
          <w:sz w:val="24"/>
          <w:szCs w:val="24"/>
          <w:highlight w:val="none"/>
          <w:u w:val="single"/>
        </w:rPr>
        <w:t xml:space="preserve">厦门万翔招标有限公司 </w:t>
      </w:r>
      <w:r>
        <w:rPr>
          <w:rFonts w:hint="eastAsia" w:ascii="宋体" w:hAnsi="宋体" w:cs="宋体"/>
          <w:color w:val="auto"/>
          <w:sz w:val="24"/>
          <w:szCs w:val="24"/>
          <w:highlight w:val="none"/>
        </w:rPr>
        <w:t>对</w:t>
      </w:r>
      <w:r>
        <w:rPr>
          <w:rFonts w:hint="eastAsia" w:ascii="宋体" w:hAnsi="宋体" w:cs="宋体"/>
          <w:color w:val="auto"/>
          <w:sz w:val="24"/>
          <w:szCs w:val="24"/>
          <w:highlight w:val="none"/>
        </w:rPr>
        <w:t>厦门市第三中学学生宿舍家具采购项目</w:t>
      </w:r>
      <w:r>
        <w:rPr>
          <w:rFonts w:hint="eastAsia" w:ascii="宋体" w:hAnsi="宋体" w:cs="宋体"/>
          <w:color w:val="auto"/>
          <w:sz w:val="24"/>
          <w:szCs w:val="24"/>
          <w:highlight w:val="none"/>
        </w:rPr>
        <w:t>货物进行国内公开招标，现欢迎国内合格的投标人前来投标。</w:t>
      </w:r>
    </w:p>
    <w:p>
      <w:pPr>
        <w:spacing w:line="360" w:lineRule="auto"/>
        <w:ind w:firstLine="600" w:firstLineChars="250"/>
        <w:rPr>
          <w:rFonts w:ascii="宋体" w:hAnsi="宋体" w:cs="宋体"/>
          <w:color w:val="auto"/>
          <w:sz w:val="24"/>
          <w:szCs w:val="24"/>
          <w:highlight w:val="none"/>
          <w:u w:val="single"/>
        </w:rPr>
      </w:pPr>
      <w:r>
        <w:rPr>
          <w:rFonts w:hint="eastAsia" w:ascii="宋体" w:hAnsi="宋体" w:cs="宋体"/>
          <w:color w:val="auto"/>
          <w:sz w:val="24"/>
          <w:szCs w:val="24"/>
          <w:highlight w:val="none"/>
        </w:rPr>
        <w:t>1、招标编号：</w:t>
      </w:r>
      <w:r>
        <w:rPr>
          <w:rFonts w:hint="eastAsia" w:ascii="宋体" w:hAnsi="宋体" w:cs="宋体"/>
          <w:color w:val="auto"/>
          <w:sz w:val="24"/>
          <w:szCs w:val="24"/>
          <w:highlight w:val="none"/>
          <w:u w:val="single"/>
        </w:rPr>
        <w:t>XM2024-DZ0011。</w:t>
      </w:r>
      <w:r>
        <w:rPr>
          <w:rFonts w:hint="eastAsia" w:ascii="宋体" w:hAnsi="宋体" w:cs="宋体"/>
          <w:color w:val="auto"/>
          <w:sz w:val="24"/>
          <w:szCs w:val="24"/>
          <w:highlight w:val="none"/>
          <w:u w:val="single"/>
        </w:rPr>
        <w:t xml:space="preserve"> </w:t>
      </w:r>
    </w:p>
    <w:p>
      <w:pPr>
        <w:spacing w:line="360" w:lineRule="auto"/>
        <w:ind w:firstLine="530" w:firstLineChars="250"/>
        <w:rPr>
          <w:rFonts w:ascii="宋体" w:hAnsi="宋体" w:cs="宋体"/>
          <w:color w:val="auto"/>
          <w:spacing w:val="-14"/>
          <w:sz w:val="24"/>
          <w:szCs w:val="24"/>
          <w:highlight w:val="none"/>
        </w:rPr>
      </w:pPr>
      <w:r>
        <w:rPr>
          <w:rFonts w:hint="eastAsia" w:ascii="宋体" w:hAnsi="宋体" w:cs="宋体"/>
          <w:color w:val="auto"/>
          <w:spacing w:val="-14"/>
          <w:sz w:val="24"/>
          <w:szCs w:val="24"/>
          <w:highlight w:val="none"/>
        </w:rPr>
        <w:t>2、招标货物（服务）名称、数量及主要技术规格：见后</w:t>
      </w:r>
      <w:r>
        <w:rPr>
          <w:rFonts w:hint="eastAsia" w:ascii="宋体" w:hAnsi="宋体" w:cs="宋体"/>
          <w:color w:val="auto"/>
          <w:sz w:val="24"/>
          <w:szCs w:val="24"/>
          <w:highlight w:val="none"/>
        </w:rPr>
        <w:t>附招标货物（</w:t>
      </w:r>
      <w:r>
        <w:rPr>
          <w:rFonts w:hint="eastAsia" w:ascii="宋体" w:hAnsi="宋体" w:cs="宋体"/>
          <w:color w:val="auto"/>
          <w:spacing w:val="-14"/>
          <w:sz w:val="24"/>
          <w:szCs w:val="24"/>
          <w:highlight w:val="none"/>
        </w:rPr>
        <w:t>服务）</w:t>
      </w:r>
      <w:r>
        <w:rPr>
          <w:rFonts w:hint="eastAsia" w:ascii="宋体" w:hAnsi="宋体" w:cs="宋体"/>
          <w:color w:val="auto"/>
          <w:sz w:val="24"/>
          <w:szCs w:val="24"/>
          <w:highlight w:val="none"/>
        </w:rPr>
        <w:t>一览表。</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3、招标文件获取方式：</w:t>
      </w:r>
      <w:r>
        <w:rPr>
          <w:rFonts w:hint="eastAsia" w:ascii="宋体" w:hAnsi="宋体" w:cs="宋体"/>
          <w:b/>
          <w:bCs w:val="0"/>
          <w:color w:val="auto"/>
          <w:sz w:val="24"/>
          <w:szCs w:val="24"/>
          <w:highlight w:val="none"/>
        </w:rPr>
        <w:t>2024年</w:t>
      </w:r>
      <w:r>
        <w:rPr>
          <w:rFonts w:hint="eastAsia" w:ascii="宋体" w:hAnsi="宋体" w:cs="宋体"/>
          <w:b/>
          <w:bCs w:val="0"/>
          <w:color w:val="auto"/>
          <w:sz w:val="24"/>
          <w:szCs w:val="24"/>
          <w:highlight w:val="none"/>
          <w:lang w:val="en-US" w:eastAsia="zh-CN"/>
        </w:rPr>
        <w:t>6</w:t>
      </w:r>
      <w:r>
        <w:rPr>
          <w:rFonts w:hint="eastAsia" w:ascii="宋体" w:hAnsi="宋体" w:cs="宋体"/>
          <w:b/>
          <w:bCs w:val="0"/>
          <w:color w:val="auto"/>
          <w:sz w:val="24"/>
          <w:szCs w:val="24"/>
          <w:highlight w:val="none"/>
        </w:rPr>
        <w:t>月</w:t>
      </w:r>
      <w:r>
        <w:rPr>
          <w:rFonts w:hint="eastAsia" w:ascii="宋体" w:hAnsi="宋体" w:cs="宋体"/>
          <w:b/>
          <w:bCs w:val="0"/>
          <w:color w:val="auto"/>
          <w:sz w:val="24"/>
          <w:szCs w:val="24"/>
          <w:highlight w:val="none"/>
          <w:lang w:val="en-US" w:eastAsia="zh-CN"/>
        </w:rPr>
        <w:t>4</w:t>
      </w:r>
      <w:r>
        <w:rPr>
          <w:rFonts w:hint="eastAsia" w:ascii="宋体" w:hAnsi="宋体" w:cs="宋体"/>
          <w:b/>
          <w:bCs w:val="0"/>
          <w:color w:val="auto"/>
          <w:sz w:val="24"/>
          <w:szCs w:val="24"/>
          <w:highlight w:val="none"/>
        </w:rPr>
        <w:t>日至2024年</w:t>
      </w:r>
      <w:r>
        <w:rPr>
          <w:rFonts w:hint="eastAsia" w:ascii="宋体" w:hAnsi="宋体" w:cs="宋体"/>
          <w:b/>
          <w:bCs w:val="0"/>
          <w:color w:val="auto"/>
          <w:sz w:val="24"/>
          <w:szCs w:val="24"/>
          <w:highlight w:val="none"/>
          <w:lang w:val="en-US" w:eastAsia="zh-CN"/>
        </w:rPr>
        <w:t>6</w:t>
      </w:r>
      <w:r>
        <w:rPr>
          <w:rFonts w:hint="eastAsia" w:ascii="宋体" w:hAnsi="宋体" w:cs="宋体"/>
          <w:b/>
          <w:bCs w:val="0"/>
          <w:color w:val="auto"/>
          <w:sz w:val="24"/>
          <w:szCs w:val="24"/>
          <w:highlight w:val="none"/>
        </w:rPr>
        <w:t>月</w:t>
      </w:r>
      <w:r>
        <w:rPr>
          <w:rFonts w:hint="eastAsia" w:ascii="宋体" w:hAnsi="宋体" w:cs="宋体"/>
          <w:b/>
          <w:bCs w:val="0"/>
          <w:color w:val="auto"/>
          <w:sz w:val="24"/>
          <w:szCs w:val="24"/>
          <w:highlight w:val="none"/>
          <w:lang w:val="en-US" w:eastAsia="zh-CN"/>
        </w:rPr>
        <w:t>21</w:t>
      </w:r>
      <w:r>
        <w:rPr>
          <w:rFonts w:hint="eastAsia" w:ascii="宋体" w:hAnsi="宋体" w:cs="宋体"/>
          <w:b/>
          <w:bCs w:val="0"/>
          <w:color w:val="auto"/>
          <w:sz w:val="24"/>
          <w:szCs w:val="24"/>
          <w:highlight w:val="none"/>
        </w:rPr>
        <w:t>日</w:t>
      </w:r>
      <w:r>
        <w:rPr>
          <w:rFonts w:hint="eastAsia" w:ascii="宋体" w:hAnsi="宋体" w:cs="宋体"/>
          <w:color w:val="auto"/>
          <w:sz w:val="24"/>
          <w:szCs w:val="24"/>
          <w:highlight w:val="none"/>
        </w:rPr>
        <w:t>，有意向的供应商应在厦门招投标网（http:// www.xmztb.com，下同）注册账号，登录后可免费在线浏览招标文件，完成缴费并下载招标文件后方具备投标资格。缴费仅支持在线扫码支付。</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A、供应商注册详见厦门招投标网－办事指南－操作手册—《供应商注册登记操作手册》</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B、缴费及下载招标文件详见厦门招投标网－办事指南－操作手册—《供应商招标项目操作手册》</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C、请各投标人务必在招标文件购买截止时间前，在线扫码支付完成缴费并下载招标文件，否则不具备投标资格。</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D、纸质招标文件(若需要)获取方式：领取地点在厦门市湖里区机场北路476号万翔招标4楼售标室。纸质招标文件领取事宜联系电话：0592-2219823。</w:t>
      </w:r>
    </w:p>
    <w:p>
      <w:pPr>
        <w:pStyle w:val="7"/>
        <w:spacing w:line="360" w:lineRule="auto"/>
        <w:ind w:firstLine="480" w:firstLineChars="200"/>
        <w:jc w:val="left"/>
        <w:rPr>
          <w:rFonts w:hAnsi="宋体" w:cs="宋体"/>
          <w:color w:val="auto"/>
          <w:sz w:val="24"/>
          <w:szCs w:val="24"/>
          <w:highlight w:val="none"/>
        </w:rPr>
      </w:pPr>
      <w:r>
        <w:rPr>
          <w:rFonts w:hint="eastAsia" w:hAnsi="宋体" w:cs="宋体"/>
          <w:color w:val="auto"/>
          <w:sz w:val="24"/>
          <w:szCs w:val="24"/>
          <w:highlight w:val="none"/>
        </w:rPr>
        <w:t>4、招标文件售价：</w:t>
      </w:r>
      <w:r>
        <w:rPr>
          <w:rFonts w:hint="eastAsia" w:hAnsi="宋体" w:cs="宋体"/>
          <w:b/>
          <w:bCs/>
          <w:color w:val="auto"/>
          <w:sz w:val="24"/>
          <w:szCs w:val="24"/>
          <w:highlight w:val="none"/>
          <w:u w:val="single"/>
        </w:rPr>
        <w:t>50</w:t>
      </w:r>
      <w:r>
        <w:rPr>
          <w:rFonts w:hint="eastAsia" w:hAnsi="宋体" w:cs="宋体"/>
          <w:b/>
          <w:bCs/>
          <w:color w:val="auto"/>
          <w:sz w:val="24"/>
          <w:szCs w:val="24"/>
          <w:highlight w:val="none"/>
        </w:rPr>
        <w:t>元人民币</w:t>
      </w:r>
      <w:r>
        <w:rPr>
          <w:rFonts w:hint="eastAsia" w:hAnsi="宋体" w:cs="宋体"/>
          <w:b/>
          <w:bCs/>
          <w:color w:val="auto"/>
          <w:sz w:val="24"/>
          <w:szCs w:val="24"/>
          <w:highlight w:val="none"/>
        </w:rPr>
        <w:t>，售后不退。</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5、投标截止时间、地点：投标文件应于</w:t>
      </w:r>
      <w:r>
        <w:rPr>
          <w:rFonts w:hint="eastAsia" w:ascii="宋体" w:hAnsi="宋体" w:cs="宋体"/>
          <w:b/>
          <w:bCs/>
          <w:color w:val="auto"/>
          <w:sz w:val="24"/>
          <w:szCs w:val="24"/>
          <w:highlight w:val="none"/>
        </w:rPr>
        <w:t>2024年</w:t>
      </w:r>
      <w:r>
        <w:rPr>
          <w:rFonts w:hint="eastAsia" w:ascii="宋体" w:hAnsi="宋体" w:cs="宋体"/>
          <w:b/>
          <w:bCs/>
          <w:color w:val="auto"/>
          <w:sz w:val="24"/>
          <w:szCs w:val="24"/>
          <w:highlight w:val="none"/>
          <w:lang w:val="en-US" w:eastAsia="zh-CN"/>
        </w:rPr>
        <w:t>6</w:t>
      </w:r>
      <w:r>
        <w:rPr>
          <w:rFonts w:hint="eastAsia" w:ascii="宋体" w:hAnsi="宋体" w:cs="宋体"/>
          <w:b/>
          <w:bCs/>
          <w:color w:val="auto"/>
          <w:sz w:val="24"/>
          <w:szCs w:val="24"/>
          <w:highlight w:val="none"/>
        </w:rPr>
        <w:t>月</w:t>
      </w:r>
      <w:r>
        <w:rPr>
          <w:rFonts w:hint="eastAsia" w:ascii="宋体" w:hAnsi="宋体" w:cs="宋体"/>
          <w:b/>
          <w:bCs/>
          <w:color w:val="auto"/>
          <w:sz w:val="24"/>
          <w:szCs w:val="24"/>
          <w:highlight w:val="none"/>
          <w:lang w:val="en-US" w:eastAsia="zh-CN"/>
        </w:rPr>
        <w:t>25</w:t>
      </w:r>
      <w:r>
        <w:rPr>
          <w:rFonts w:hint="eastAsia" w:ascii="宋体" w:hAnsi="宋体" w:cs="宋体"/>
          <w:b/>
          <w:bCs/>
          <w:color w:val="auto"/>
          <w:sz w:val="24"/>
          <w:szCs w:val="24"/>
          <w:highlight w:val="none"/>
        </w:rPr>
        <w:t>日上午9：</w:t>
      </w:r>
      <w:r>
        <w:rPr>
          <w:rFonts w:hint="eastAsia" w:ascii="宋体" w:hAnsi="宋体" w:cs="宋体"/>
          <w:b/>
          <w:bCs/>
          <w:color w:val="auto"/>
          <w:sz w:val="24"/>
          <w:szCs w:val="24"/>
          <w:highlight w:val="none"/>
          <w:lang w:val="en-US" w:eastAsia="zh-CN"/>
        </w:rPr>
        <w:t>15</w:t>
      </w:r>
      <w:r>
        <w:rPr>
          <w:rFonts w:hint="eastAsia" w:ascii="宋体" w:hAnsi="宋体" w:cs="宋体"/>
          <w:b/>
          <w:bCs/>
          <w:color w:val="auto"/>
          <w:sz w:val="24"/>
          <w:szCs w:val="24"/>
          <w:highlight w:val="none"/>
        </w:rPr>
        <w:t>（北京时间）</w:t>
      </w:r>
      <w:r>
        <w:rPr>
          <w:rFonts w:hint="eastAsia" w:ascii="宋体" w:hAnsi="宋体" w:cs="宋体"/>
          <w:color w:val="auto"/>
          <w:sz w:val="24"/>
          <w:szCs w:val="24"/>
          <w:highlight w:val="none"/>
        </w:rPr>
        <w:t>之前提交到</w:t>
      </w:r>
      <w:r>
        <w:rPr>
          <w:rFonts w:hint="eastAsia" w:ascii="宋体" w:hAnsi="宋体" w:cs="宋体"/>
          <w:b/>
          <w:color w:val="auto"/>
          <w:sz w:val="24"/>
          <w:szCs w:val="24"/>
          <w:highlight w:val="none"/>
          <w:u w:val="single"/>
        </w:rPr>
        <w:t>厦门市湖里区云顶北路842号厦门市政务服务中心4楼信息发布大厅东侧收标处</w:t>
      </w:r>
      <w:r>
        <w:rPr>
          <w:rFonts w:hint="eastAsia" w:ascii="宋体" w:hAnsi="宋体" w:cs="宋体"/>
          <w:b/>
          <w:color w:val="auto"/>
          <w:sz w:val="24"/>
          <w:szCs w:val="24"/>
          <w:highlight w:val="none"/>
          <w:u w:val="single"/>
        </w:rPr>
        <w:t>2号</w:t>
      </w:r>
      <w:r>
        <w:rPr>
          <w:rFonts w:hint="eastAsia" w:ascii="宋体" w:hAnsi="宋体" w:cs="宋体"/>
          <w:b/>
          <w:color w:val="auto"/>
          <w:sz w:val="24"/>
          <w:szCs w:val="24"/>
          <w:highlight w:val="none"/>
          <w:u w:val="single"/>
        </w:rPr>
        <w:t>收标窗口</w:t>
      </w:r>
      <w:r>
        <w:rPr>
          <w:rFonts w:hint="eastAsia" w:ascii="宋体" w:hAnsi="宋体" w:cs="宋体"/>
          <w:color w:val="auto"/>
          <w:sz w:val="24"/>
          <w:szCs w:val="24"/>
          <w:highlight w:val="none"/>
        </w:rPr>
        <w:t>。逾期收到的或不符合规定的投标文件将被拒绝。</w:t>
      </w:r>
    </w:p>
    <w:p>
      <w:pPr>
        <w:spacing w:line="360" w:lineRule="auto"/>
        <w:ind w:firstLine="360" w:firstLineChars="150"/>
        <w:rPr>
          <w:rFonts w:ascii="宋体" w:hAnsi="宋体" w:cs="宋体"/>
          <w:color w:val="auto"/>
          <w:sz w:val="24"/>
          <w:szCs w:val="24"/>
          <w:highlight w:val="none"/>
        </w:rPr>
      </w:pPr>
      <w:r>
        <w:rPr>
          <w:rFonts w:hint="eastAsia" w:ascii="宋体" w:hAnsi="宋体" w:cs="宋体"/>
          <w:color w:val="auto"/>
          <w:sz w:val="24"/>
          <w:szCs w:val="24"/>
          <w:highlight w:val="none"/>
        </w:rPr>
        <w:t xml:space="preserve">6、开标时间、地点: </w:t>
      </w:r>
      <w:r>
        <w:rPr>
          <w:rFonts w:hint="eastAsia" w:ascii="宋体" w:hAnsi="宋体" w:cs="宋体"/>
          <w:b/>
          <w:bCs/>
          <w:color w:val="auto"/>
          <w:sz w:val="24"/>
          <w:szCs w:val="24"/>
          <w:highlight w:val="none"/>
        </w:rPr>
        <w:t>2024年</w:t>
      </w:r>
      <w:r>
        <w:rPr>
          <w:rFonts w:hint="eastAsia" w:ascii="宋体" w:hAnsi="宋体" w:cs="宋体"/>
          <w:b/>
          <w:bCs/>
          <w:color w:val="auto"/>
          <w:sz w:val="24"/>
          <w:szCs w:val="24"/>
          <w:highlight w:val="none"/>
          <w:lang w:val="en-US" w:eastAsia="zh-CN"/>
        </w:rPr>
        <w:t>6</w:t>
      </w:r>
      <w:r>
        <w:rPr>
          <w:rFonts w:hint="eastAsia" w:ascii="宋体" w:hAnsi="宋体" w:cs="宋体"/>
          <w:b/>
          <w:bCs/>
          <w:color w:val="auto"/>
          <w:sz w:val="24"/>
          <w:szCs w:val="24"/>
          <w:highlight w:val="none"/>
        </w:rPr>
        <w:t>月</w:t>
      </w:r>
      <w:r>
        <w:rPr>
          <w:rFonts w:hint="eastAsia" w:ascii="宋体" w:hAnsi="宋体" w:cs="宋体"/>
          <w:b/>
          <w:bCs/>
          <w:color w:val="auto"/>
          <w:sz w:val="24"/>
          <w:szCs w:val="24"/>
          <w:highlight w:val="none"/>
          <w:lang w:val="en-US" w:eastAsia="zh-CN"/>
        </w:rPr>
        <w:t>25</w:t>
      </w:r>
      <w:r>
        <w:rPr>
          <w:rFonts w:hint="eastAsia" w:ascii="宋体" w:hAnsi="宋体" w:cs="宋体"/>
          <w:b/>
          <w:bCs/>
          <w:color w:val="auto"/>
          <w:sz w:val="24"/>
          <w:szCs w:val="24"/>
          <w:highlight w:val="none"/>
        </w:rPr>
        <w:t>日上午9：</w:t>
      </w:r>
      <w:r>
        <w:rPr>
          <w:rFonts w:hint="eastAsia" w:ascii="宋体" w:hAnsi="宋体" w:cs="宋体"/>
          <w:b/>
          <w:bCs/>
          <w:color w:val="auto"/>
          <w:sz w:val="24"/>
          <w:szCs w:val="24"/>
          <w:highlight w:val="none"/>
          <w:lang w:val="en-US" w:eastAsia="zh-CN"/>
        </w:rPr>
        <w:t>15</w:t>
      </w:r>
      <w:r>
        <w:rPr>
          <w:rFonts w:hint="eastAsia" w:ascii="宋体" w:hAnsi="宋体" w:cs="宋体"/>
          <w:b/>
          <w:bCs/>
          <w:color w:val="auto"/>
          <w:sz w:val="24"/>
          <w:szCs w:val="24"/>
          <w:highlight w:val="none"/>
        </w:rPr>
        <w:t>（北京时间）</w:t>
      </w:r>
      <w:r>
        <w:rPr>
          <w:rFonts w:hint="eastAsia" w:ascii="宋体" w:hAnsi="宋体" w:cs="宋体"/>
          <w:color w:val="auto"/>
          <w:sz w:val="24"/>
          <w:szCs w:val="24"/>
          <w:highlight w:val="none"/>
        </w:rPr>
        <w:t>于</w:t>
      </w:r>
      <w:r>
        <w:rPr>
          <w:rFonts w:hint="eastAsia" w:ascii="宋体" w:hAnsi="宋体" w:cs="宋体"/>
          <w:b/>
          <w:color w:val="auto"/>
          <w:sz w:val="24"/>
          <w:szCs w:val="24"/>
          <w:highlight w:val="none"/>
          <w:u w:val="single"/>
        </w:rPr>
        <w:t xml:space="preserve">厦门市湖里区云顶北路842号厦门市行政服务中心4楼开标室4(C402) </w:t>
      </w:r>
      <w:r>
        <w:rPr>
          <w:rFonts w:hint="eastAsia" w:ascii="宋体" w:hAnsi="宋体" w:cs="宋体"/>
          <w:color w:val="auto"/>
          <w:sz w:val="24"/>
          <w:szCs w:val="24"/>
          <w:highlight w:val="none"/>
        </w:rPr>
        <w:t>。</w:t>
      </w:r>
    </w:p>
    <w:p>
      <w:pPr>
        <w:spacing w:line="360" w:lineRule="auto"/>
        <w:ind w:firstLine="360" w:firstLineChars="150"/>
        <w:rPr>
          <w:rFonts w:ascii="宋体" w:hAnsi="宋体" w:cs="宋体"/>
          <w:color w:val="auto"/>
          <w:sz w:val="24"/>
          <w:szCs w:val="24"/>
          <w:highlight w:val="none"/>
        </w:rPr>
      </w:pPr>
      <w:r>
        <w:rPr>
          <w:rFonts w:hint="eastAsia" w:ascii="宋体" w:hAnsi="宋体" w:cs="宋体"/>
          <w:color w:val="auto"/>
          <w:sz w:val="24"/>
          <w:szCs w:val="24"/>
          <w:highlight w:val="none"/>
        </w:rPr>
        <w:t>7、本项目</w:t>
      </w:r>
      <w:r>
        <w:rPr>
          <w:rFonts w:hint="eastAsia" w:ascii="宋体" w:hAnsi="宋体" w:cs="宋体"/>
          <w:color w:val="auto"/>
          <w:sz w:val="24"/>
          <w:szCs w:val="24"/>
          <w:highlight w:val="none"/>
        </w:rPr>
        <w:t>（</w:t>
      </w:r>
      <w:r>
        <w:rPr>
          <w:rFonts w:hint="eastAsia" w:ascii="宋体" w:hAnsi="宋体" w:cs="宋体"/>
          <w:b/>
          <w:bCs/>
          <w:color w:val="auto"/>
          <w:sz w:val="24"/>
          <w:szCs w:val="24"/>
          <w:highlight w:val="none"/>
        </w:rPr>
        <w:t>不接受</w:t>
      </w:r>
      <w:r>
        <w:rPr>
          <w:rFonts w:hint="eastAsia" w:ascii="宋体" w:hAnsi="宋体" w:cs="宋体"/>
          <w:color w:val="auto"/>
          <w:sz w:val="24"/>
          <w:szCs w:val="24"/>
          <w:highlight w:val="none"/>
        </w:rPr>
        <w:t>）</w:t>
      </w:r>
      <w:r>
        <w:rPr>
          <w:rFonts w:hint="eastAsia" w:ascii="宋体" w:hAnsi="宋体" w:cs="宋体"/>
          <w:color w:val="auto"/>
          <w:sz w:val="24"/>
          <w:szCs w:val="24"/>
          <w:highlight w:val="none"/>
        </w:rPr>
        <w:t>联合体投标。</w:t>
      </w:r>
    </w:p>
    <w:p>
      <w:pPr>
        <w:spacing w:line="360" w:lineRule="auto"/>
        <w:ind w:firstLine="360" w:firstLineChars="150"/>
        <w:rPr>
          <w:rFonts w:ascii="宋体" w:hAnsi="宋体" w:cs="宋体"/>
          <w:color w:val="auto"/>
          <w:sz w:val="24"/>
          <w:szCs w:val="24"/>
          <w:highlight w:val="none"/>
        </w:rPr>
      </w:pPr>
      <w:r>
        <w:rPr>
          <w:rFonts w:hint="eastAsia" w:ascii="宋体" w:hAnsi="宋体" w:cs="宋体"/>
          <w:bCs/>
          <w:color w:val="auto"/>
          <w:sz w:val="24"/>
          <w:szCs w:val="24"/>
          <w:highlight w:val="none"/>
        </w:rPr>
        <w:t>8、招标文件如有变更，</w:t>
      </w:r>
      <w:r>
        <w:rPr>
          <w:rFonts w:hint="eastAsia" w:ascii="宋体" w:hAnsi="宋体" w:cs="宋体"/>
          <w:b/>
          <w:color w:val="auto"/>
          <w:sz w:val="24"/>
          <w:szCs w:val="24"/>
          <w:highlight w:val="none"/>
          <w:u w:val="single"/>
        </w:rPr>
        <w:t xml:space="preserve">厦门万翔招标有限公司 </w:t>
      </w:r>
      <w:r>
        <w:rPr>
          <w:rFonts w:hint="eastAsia" w:ascii="宋体" w:hAnsi="宋体" w:cs="宋体"/>
          <w:bCs/>
          <w:color w:val="auto"/>
          <w:sz w:val="24"/>
          <w:szCs w:val="24"/>
          <w:highlight w:val="none"/>
        </w:rPr>
        <w:t>将通过中国政府采购网、</w:t>
      </w:r>
      <w:r>
        <w:rPr>
          <w:rFonts w:hint="eastAsia" w:ascii="宋体" w:hAnsi="宋体" w:cs="宋体"/>
          <w:bCs/>
          <w:color w:val="auto"/>
          <w:sz w:val="24"/>
          <w:szCs w:val="24"/>
          <w:highlight w:val="none"/>
          <w:lang w:val="en-US" w:eastAsia="zh-CN"/>
        </w:rPr>
        <w:t>福建省政府采购网、</w:t>
      </w:r>
      <w:r>
        <w:rPr>
          <w:rFonts w:hint="eastAsia" w:ascii="宋体" w:hAnsi="宋体" w:cs="宋体"/>
          <w:bCs/>
          <w:color w:val="auto"/>
          <w:sz w:val="24"/>
          <w:szCs w:val="24"/>
          <w:highlight w:val="none"/>
        </w:rPr>
        <w:t>厦门招投标网（</w:t>
      </w:r>
      <w:r>
        <w:rPr>
          <w:rFonts w:hint="eastAsia" w:ascii="宋体" w:hAnsi="宋体" w:cs="宋体"/>
          <w:color w:val="auto"/>
          <w:sz w:val="24"/>
          <w:szCs w:val="24"/>
          <w:highlight w:val="none"/>
        </w:rPr>
        <w:t>www.xmztb.com</w:t>
      </w:r>
      <w:r>
        <w:rPr>
          <w:rFonts w:hint="eastAsia" w:ascii="宋体" w:hAnsi="宋体" w:cs="宋体"/>
          <w:bCs/>
          <w:color w:val="auto"/>
          <w:sz w:val="24"/>
          <w:szCs w:val="24"/>
          <w:highlight w:val="none"/>
        </w:rPr>
        <w:t>）等媒体发布通知信息，请投标人关注</w:t>
      </w:r>
      <w:r>
        <w:rPr>
          <w:rFonts w:hint="eastAsia" w:ascii="宋体" w:hAnsi="宋体" w:cs="宋体"/>
          <w:color w:val="auto"/>
          <w:sz w:val="24"/>
          <w:szCs w:val="24"/>
          <w:highlight w:val="none"/>
        </w:rPr>
        <w:t>。</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 xml:space="preserve">   9、友情提醒：本项目仅限网上购买招标文件，投标人必须按招标文件要求递交纸质投标文件。 </w:t>
      </w:r>
    </w:p>
    <w:p>
      <w:pPr>
        <w:spacing w:line="360" w:lineRule="auto"/>
        <w:ind w:firstLine="240" w:firstLineChars="100"/>
        <w:rPr>
          <w:rFonts w:ascii="宋体" w:hAnsi="宋体" w:cs="宋体"/>
          <w:color w:val="auto"/>
          <w:sz w:val="24"/>
          <w:szCs w:val="24"/>
          <w:highlight w:val="none"/>
          <w:u w:val="single"/>
        </w:rPr>
      </w:pPr>
      <w:r>
        <w:rPr>
          <w:rFonts w:hint="eastAsia" w:ascii="宋体" w:hAnsi="宋体" w:cs="宋体"/>
          <w:color w:val="auto"/>
          <w:sz w:val="24"/>
          <w:szCs w:val="24"/>
          <w:highlight w:val="none"/>
        </w:rPr>
        <w:t>10、投标人对本次招标活动事项提出疑问的，请在投标截止时间十五日之前，与招标代理机构联系。来函请加盖单位公章，并提供联系人、联系电话及传真号码。</w:t>
      </w:r>
    </w:p>
    <w:p>
      <w:pPr>
        <w:spacing w:line="360" w:lineRule="auto"/>
        <w:ind w:firstLine="361" w:firstLineChars="150"/>
        <w:rPr>
          <w:rFonts w:ascii="宋体" w:hAnsi="宋体" w:cs="宋体"/>
          <w:b/>
          <w:bCs/>
          <w:color w:val="auto"/>
          <w:sz w:val="24"/>
          <w:szCs w:val="24"/>
          <w:highlight w:val="none"/>
        </w:rPr>
      </w:pPr>
      <w:r>
        <w:rPr>
          <w:rFonts w:hint="eastAsia" w:ascii="宋体" w:hAnsi="宋体" w:cs="宋体"/>
          <w:b/>
          <w:bCs/>
          <w:color w:val="auto"/>
          <w:sz w:val="24"/>
          <w:szCs w:val="24"/>
          <w:highlight w:val="none"/>
        </w:rPr>
        <w:t>11、为方便开标唱标，投标人应将开标一览表原件和投标保证金缴交凭证单独密封，并在信封上标明“开标一览表”字样，然后再装入投标文件密封袋中密封。</w:t>
      </w:r>
    </w:p>
    <w:p>
      <w:pPr>
        <w:tabs>
          <w:tab w:val="left" w:pos="1140"/>
        </w:tabs>
        <w:spacing w:line="360" w:lineRule="auto"/>
        <w:ind w:firstLine="240" w:firstLineChars="100"/>
        <w:rPr>
          <w:rFonts w:ascii="宋体" w:hAnsi="宋体" w:cs="宋体"/>
          <w:color w:val="auto"/>
          <w:sz w:val="24"/>
          <w:szCs w:val="24"/>
          <w:highlight w:val="none"/>
        </w:rPr>
      </w:pPr>
      <w:r>
        <w:rPr>
          <w:rFonts w:hint="eastAsia" w:ascii="宋体" w:hAnsi="宋体" w:cs="宋体"/>
          <w:color w:val="auto"/>
          <w:sz w:val="24"/>
          <w:szCs w:val="24"/>
          <w:highlight w:val="none"/>
        </w:rPr>
        <w:t>12、各有关联系方式</w:t>
      </w:r>
    </w:p>
    <w:tbl>
      <w:tblPr>
        <w:tblStyle w:val="12"/>
        <w:tblW w:w="9886"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14"/>
        <w:gridCol w:w="1409"/>
        <w:gridCol w:w="1239"/>
        <w:gridCol w:w="3348"/>
        <w:gridCol w:w="2976"/>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4" w:hRule="atLeast"/>
          <w:jc w:val="center"/>
        </w:trPr>
        <w:tc>
          <w:tcPr>
            <w:tcW w:w="914" w:type="dxa"/>
            <w:vAlign w:val="center"/>
          </w:tcPr>
          <w:p>
            <w:pPr>
              <w:spacing w:line="360" w:lineRule="auto"/>
              <w:jc w:val="center"/>
              <w:rPr>
                <w:rFonts w:ascii="宋体" w:hAnsi="宋体" w:cs="宋体"/>
                <w:b/>
                <w:color w:val="auto"/>
                <w:kern w:val="0"/>
                <w:sz w:val="24"/>
                <w:szCs w:val="24"/>
                <w:highlight w:val="none"/>
              </w:rPr>
            </w:pPr>
            <w:r>
              <w:rPr>
                <w:rFonts w:hint="eastAsia" w:ascii="宋体" w:hAnsi="宋体" w:cs="宋体"/>
                <w:b/>
                <w:color w:val="auto"/>
                <w:kern w:val="0"/>
                <w:sz w:val="24"/>
                <w:szCs w:val="24"/>
                <w:highlight w:val="none"/>
              </w:rPr>
              <w:t>序号</w:t>
            </w:r>
          </w:p>
        </w:tc>
        <w:tc>
          <w:tcPr>
            <w:tcW w:w="1409" w:type="dxa"/>
            <w:vAlign w:val="center"/>
          </w:tcPr>
          <w:p>
            <w:pPr>
              <w:spacing w:line="360" w:lineRule="auto"/>
              <w:jc w:val="center"/>
              <w:rPr>
                <w:rFonts w:ascii="宋体" w:hAnsi="宋体" w:cs="宋体"/>
                <w:b/>
                <w:color w:val="auto"/>
                <w:kern w:val="0"/>
                <w:sz w:val="24"/>
                <w:szCs w:val="24"/>
                <w:highlight w:val="none"/>
              </w:rPr>
            </w:pPr>
            <w:r>
              <w:rPr>
                <w:rFonts w:hint="eastAsia" w:ascii="宋体" w:hAnsi="宋体" w:cs="宋体"/>
                <w:b/>
                <w:color w:val="auto"/>
                <w:kern w:val="0"/>
                <w:sz w:val="24"/>
                <w:szCs w:val="24"/>
                <w:highlight w:val="none"/>
              </w:rPr>
              <w:t>分工</w:t>
            </w:r>
          </w:p>
        </w:tc>
        <w:tc>
          <w:tcPr>
            <w:tcW w:w="1239" w:type="dxa"/>
            <w:vAlign w:val="center"/>
          </w:tcPr>
          <w:p>
            <w:pPr>
              <w:spacing w:line="360" w:lineRule="auto"/>
              <w:jc w:val="center"/>
              <w:rPr>
                <w:rFonts w:ascii="宋体" w:hAnsi="宋体" w:cs="宋体"/>
                <w:b/>
                <w:color w:val="auto"/>
                <w:kern w:val="0"/>
                <w:sz w:val="24"/>
                <w:szCs w:val="24"/>
                <w:highlight w:val="none"/>
              </w:rPr>
            </w:pPr>
            <w:r>
              <w:rPr>
                <w:rFonts w:hint="eastAsia" w:ascii="宋体" w:hAnsi="宋体" w:cs="宋体"/>
                <w:b/>
                <w:color w:val="auto"/>
                <w:kern w:val="0"/>
                <w:sz w:val="24"/>
                <w:szCs w:val="24"/>
                <w:highlight w:val="none"/>
              </w:rPr>
              <w:t>联系人</w:t>
            </w:r>
          </w:p>
        </w:tc>
        <w:tc>
          <w:tcPr>
            <w:tcW w:w="3348" w:type="dxa"/>
            <w:vAlign w:val="center"/>
          </w:tcPr>
          <w:p>
            <w:pPr>
              <w:spacing w:line="360" w:lineRule="auto"/>
              <w:jc w:val="center"/>
              <w:rPr>
                <w:rFonts w:ascii="宋体" w:hAnsi="宋体" w:cs="宋体"/>
                <w:b/>
                <w:color w:val="auto"/>
                <w:kern w:val="0"/>
                <w:sz w:val="24"/>
                <w:szCs w:val="24"/>
                <w:highlight w:val="none"/>
              </w:rPr>
            </w:pPr>
            <w:r>
              <w:rPr>
                <w:rFonts w:hint="eastAsia" w:ascii="宋体" w:hAnsi="宋体" w:cs="宋体"/>
                <w:b/>
                <w:color w:val="auto"/>
                <w:kern w:val="0"/>
                <w:sz w:val="24"/>
                <w:szCs w:val="24"/>
                <w:highlight w:val="none"/>
              </w:rPr>
              <w:t>职责范围</w:t>
            </w:r>
          </w:p>
        </w:tc>
        <w:tc>
          <w:tcPr>
            <w:tcW w:w="2976" w:type="dxa"/>
            <w:vAlign w:val="center"/>
          </w:tcPr>
          <w:p>
            <w:pPr>
              <w:spacing w:line="360" w:lineRule="auto"/>
              <w:jc w:val="center"/>
              <w:rPr>
                <w:rFonts w:ascii="宋体" w:hAnsi="宋体" w:cs="宋体"/>
                <w:b/>
                <w:color w:val="auto"/>
                <w:kern w:val="0"/>
                <w:sz w:val="24"/>
                <w:szCs w:val="24"/>
                <w:highlight w:val="none"/>
              </w:rPr>
            </w:pPr>
            <w:r>
              <w:rPr>
                <w:rFonts w:hint="eastAsia" w:ascii="宋体" w:hAnsi="宋体" w:cs="宋体"/>
                <w:b/>
                <w:color w:val="auto"/>
                <w:kern w:val="0"/>
                <w:sz w:val="24"/>
                <w:szCs w:val="24"/>
                <w:highlight w:val="none"/>
              </w:rPr>
              <w:t>联系电话</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pPr>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1</w:t>
            </w:r>
          </w:p>
        </w:tc>
        <w:tc>
          <w:tcPr>
            <w:tcW w:w="1409" w:type="dxa"/>
            <w:vAlign w:val="center"/>
          </w:tcPr>
          <w:p>
            <w:pPr>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项目经办</w:t>
            </w:r>
          </w:p>
        </w:tc>
        <w:tc>
          <w:tcPr>
            <w:tcW w:w="1239" w:type="dxa"/>
            <w:vAlign w:val="center"/>
          </w:tcPr>
          <w:p>
            <w:pPr>
              <w:spacing w:line="360" w:lineRule="auto"/>
              <w:rPr>
                <w:rFonts w:ascii="宋体" w:hAnsi="宋体" w:cs="宋体"/>
                <w:color w:val="auto"/>
                <w:kern w:val="0"/>
                <w:sz w:val="24"/>
                <w:szCs w:val="24"/>
                <w:highlight w:val="none"/>
              </w:rPr>
            </w:pPr>
            <w:r>
              <w:rPr>
                <w:rFonts w:hint="eastAsia" w:ascii="宋体" w:hAnsi="宋体" w:cs="宋体"/>
                <w:color w:val="auto"/>
                <w:kern w:val="0"/>
                <w:sz w:val="24"/>
                <w:szCs w:val="24"/>
                <w:highlight w:val="none"/>
              </w:rPr>
              <w:t>徐连福、熊睿晨</w:t>
            </w:r>
          </w:p>
        </w:tc>
        <w:tc>
          <w:tcPr>
            <w:tcW w:w="3348" w:type="dxa"/>
            <w:vAlign w:val="center"/>
          </w:tcPr>
          <w:p>
            <w:pPr>
              <w:spacing w:line="360" w:lineRule="auto"/>
              <w:rPr>
                <w:rFonts w:ascii="宋体" w:hAnsi="宋体" w:cs="宋体"/>
                <w:color w:val="auto"/>
                <w:kern w:val="0"/>
                <w:sz w:val="24"/>
                <w:szCs w:val="24"/>
                <w:highlight w:val="none"/>
              </w:rPr>
            </w:pPr>
            <w:r>
              <w:rPr>
                <w:rFonts w:hint="eastAsia" w:ascii="宋体" w:hAnsi="宋体" w:cs="宋体"/>
                <w:color w:val="auto"/>
                <w:sz w:val="24"/>
                <w:szCs w:val="24"/>
                <w:highlight w:val="none"/>
              </w:rPr>
              <w:t>负责招标文件的咨询、答疑等工作</w:t>
            </w:r>
          </w:p>
        </w:tc>
        <w:tc>
          <w:tcPr>
            <w:tcW w:w="2976" w:type="dxa"/>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0592-5730600、5769394</w:t>
            </w:r>
          </w:p>
          <w:p>
            <w:pPr>
              <w:spacing w:line="360" w:lineRule="auto"/>
              <w:rPr>
                <w:rFonts w:ascii="宋体" w:hAnsi="宋体" w:cs="宋体"/>
                <w:color w:val="auto"/>
                <w:kern w:val="0"/>
                <w:sz w:val="24"/>
                <w:szCs w:val="24"/>
                <w:highlight w:val="none"/>
              </w:rPr>
            </w:pPr>
            <w:r>
              <w:rPr>
                <w:rFonts w:hint="eastAsia" w:ascii="宋体" w:hAnsi="宋体" w:cs="宋体"/>
                <w:color w:val="auto"/>
                <w:sz w:val="24"/>
                <w:szCs w:val="24"/>
                <w:highlight w:val="none"/>
              </w:rPr>
              <w:t>传真0592-5706660-6969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pPr>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2</w:t>
            </w:r>
          </w:p>
        </w:tc>
        <w:tc>
          <w:tcPr>
            <w:tcW w:w="1409"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投标保证金</w:t>
            </w:r>
          </w:p>
        </w:tc>
        <w:tc>
          <w:tcPr>
            <w:tcW w:w="1239" w:type="dxa"/>
            <w:vAlign w:val="center"/>
          </w:tcPr>
          <w:p>
            <w:pPr>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陈</w:t>
            </w:r>
            <w:r>
              <w:rPr>
                <w:rFonts w:hint="eastAsia" w:ascii="宋体" w:hAnsi="宋体" w:cs="宋体"/>
                <w:color w:val="auto"/>
                <w:sz w:val="24"/>
                <w:szCs w:val="24"/>
                <w:highlight w:val="none"/>
              </w:rPr>
              <w:t>小姐</w:t>
            </w:r>
          </w:p>
        </w:tc>
        <w:tc>
          <w:tcPr>
            <w:tcW w:w="3348" w:type="dxa"/>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投标保证金收、退</w:t>
            </w:r>
          </w:p>
        </w:tc>
        <w:tc>
          <w:tcPr>
            <w:tcW w:w="2976" w:type="dxa"/>
            <w:vAlign w:val="center"/>
          </w:tcPr>
          <w:p>
            <w:pPr>
              <w:spacing w:line="360" w:lineRule="auto"/>
              <w:rPr>
                <w:rFonts w:ascii="宋体" w:hAnsi="宋体" w:cs="宋体"/>
                <w:color w:val="auto"/>
                <w:kern w:val="0"/>
                <w:sz w:val="24"/>
                <w:szCs w:val="24"/>
                <w:highlight w:val="none"/>
              </w:rPr>
            </w:pPr>
            <w:r>
              <w:rPr>
                <w:rFonts w:hint="eastAsia" w:ascii="宋体" w:hAnsi="宋体" w:cs="宋体"/>
                <w:color w:val="auto"/>
                <w:kern w:val="0"/>
                <w:sz w:val="24"/>
                <w:szCs w:val="24"/>
                <w:highlight w:val="none"/>
              </w:rPr>
              <w:t>0592-5703367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pPr>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3</w:t>
            </w:r>
          </w:p>
        </w:tc>
        <w:tc>
          <w:tcPr>
            <w:tcW w:w="1409"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代理服务费</w:t>
            </w:r>
          </w:p>
        </w:tc>
        <w:tc>
          <w:tcPr>
            <w:tcW w:w="1239" w:type="dxa"/>
            <w:vAlign w:val="center"/>
          </w:tcPr>
          <w:p>
            <w:pPr>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陈小姐</w:t>
            </w:r>
          </w:p>
        </w:tc>
        <w:tc>
          <w:tcPr>
            <w:tcW w:w="3348" w:type="dxa"/>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代理服务费收取</w:t>
            </w:r>
          </w:p>
        </w:tc>
        <w:tc>
          <w:tcPr>
            <w:tcW w:w="2976" w:type="dxa"/>
            <w:vAlign w:val="center"/>
          </w:tcPr>
          <w:p>
            <w:pPr>
              <w:spacing w:line="360" w:lineRule="auto"/>
              <w:rPr>
                <w:rFonts w:ascii="宋体" w:hAnsi="宋体" w:cs="宋体"/>
                <w:color w:val="auto"/>
                <w:kern w:val="0"/>
                <w:sz w:val="24"/>
                <w:szCs w:val="24"/>
                <w:highlight w:val="none"/>
              </w:rPr>
            </w:pPr>
            <w:r>
              <w:rPr>
                <w:rFonts w:hint="eastAsia" w:ascii="宋体" w:hAnsi="宋体" w:cs="宋体"/>
                <w:color w:val="auto"/>
                <w:kern w:val="0"/>
                <w:sz w:val="24"/>
                <w:szCs w:val="24"/>
                <w:highlight w:val="none"/>
              </w:rPr>
              <w:t>0592-</w:t>
            </w:r>
            <w:r>
              <w:rPr>
                <w:rFonts w:hint="eastAsia" w:ascii="宋体" w:hAnsi="宋体" w:cs="宋体"/>
                <w:color w:val="auto"/>
                <w:sz w:val="24"/>
                <w:szCs w:val="24"/>
                <w:highlight w:val="none"/>
              </w:rPr>
              <w:t xml:space="preserve"> </w:t>
            </w:r>
            <w:r>
              <w:rPr>
                <w:rFonts w:hint="eastAsia" w:ascii="宋体" w:hAnsi="宋体" w:cs="宋体"/>
                <w:color w:val="auto"/>
                <w:kern w:val="0"/>
                <w:sz w:val="24"/>
                <w:szCs w:val="24"/>
                <w:highlight w:val="none"/>
              </w:rPr>
              <w:t>5703367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pPr>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4</w:t>
            </w:r>
          </w:p>
        </w:tc>
        <w:tc>
          <w:tcPr>
            <w:tcW w:w="1409"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监督</w:t>
            </w:r>
          </w:p>
        </w:tc>
        <w:tc>
          <w:tcPr>
            <w:tcW w:w="1239" w:type="dxa"/>
            <w:vAlign w:val="center"/>
          </w:tcPr>
          <w:p>
            <w:pPr>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黄经理</w:t>
            </w:r>
          </w:p>
        </w:tc>
        <w:tc>
          <w:tcPr>
            <w:tcW w:w="3348" w:type="dxa"/>
            <w:vAlign w:val="center"/>
          </w:tcPr>
          <w:p>
            <w:pPr>
              <w:spacing w:line="360" w:lineRule="auto"/>
              <w:rPr>
                <w:rFonts w:ascii="宋体" w:hAnsi="宋体" w:cs="宋体"/>
                <w:color w:val="auto"/>
                <w:sz w:val="24"/>
                <w:szCs w:val="24"/>
                <w:highlight w:val="none"/>
              </w:rPr>
            </w:pPr>
            <w:r>
              <w:rPr>
                <w:rFonts w:hint="eastAsia" w:ascii="宋体" w:hAnsi="宋体" w:cs="宋体"/>
                <w:b/>
                <w:color w:val="auto"/>
                <w:sz w:val="24"/>
                <w:szCs w:val="24"/>
                <w:highlight w:val="none"/>
              </w:rPr>
              <w:t>欢迎投标人对项目采购过程中公告发布、招标文件购买、投标保证金缴交和退还、代理服务费收取、中标通知书发放等环节的服务进行监督。我们将竭诚为您提供最优质的服务。</w:t>
            </w:r>
          </w:p>
        </w:tc>
        <w:tc>
          <w:tcPr>
            <w:tcW w:w="2976" w:type="dxa"/>
            <w:vAlign w:val="center"/>
          </w:tcPr>
          <w:p>
            <w:pPr>
              <w:spacing w:line="360" w:lineRule="auto"/>
              <w:rPr>
                <w:rFonts w:ascii="宋体" w:hAnsi="宋体" w:cs="宋体"/>
                <w:color w:val="auto"/>
                <w:kern w:val="0"/>
                <w:sz w:val="24"/>
                <w:szCs w:val="24"/>
                <w:highlight w:val="none"/>
              </w:rPr>
            </w:pPr>
            <w:r>
              <w:rPr>
                <w:rFonts w:hint="eastAsia" w:ascii="宋体" w:hAnsi="宋体" w:cs="宋体"/>
                <w:color w:val="auto"/>
                <w:kern w:val="0"/>
                <w:sz w:val="24"/>
                <w:szCs w:val="24"/>
                <w:highlight w:val="none"/>
              </w:rPr>
              <w:t>0592-5705656</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pPr>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5</w:t>
            </w:r>
          </w:p>
        </w:tc>
        <w:tc>
          <w:tcPr>
            <w:tcW w:w="1409"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接收质疑</w:t>
            </w:r>
          </w:p>
        </w:tc>
        <w:tc>
          <w:tcPr>
            <w:tcW w:w="1239" w:type="dxa"/>
            <w:vAlign w:val="center"/>
          </w:tcPr>
          <w:p>
            <w:pPr>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刘经理</w:t>
            </w:r>
          </w:p>
        </w:tc>
        <w:tc>
          <w:tcPr>
            <w:tcW w:w="3348" w:type="dxa"/>
            <w:vAlign w:val="center"/>
          </w:tcPr>
          <w:p>
            <w:pPr>
              <w:spacing w:line="360" w:lineRule="auto"/>
              <w:rPr>
                <w:rFonts w:ascii="宋体" w:hAnsi="宋体" w:cs="宋体"/>
                <w:b/>
                <w:color w:val="auto"/>
                <w:sz w:val="24"/>
                <w:szCs w:val="24"/>
                <w:highlight w:val="none"/>
              </w:rPr>
            </w:pPr>
            <w:r>
              <w:rPr>
                <w:rFonts w:hint="eastAsia" w:ascii="宋体" w:hAnsi="宋体" w:cs="宋体"/>
                <w:color w:val="auto"/>
                <w:kern w:val="0"/>
                <w:sz w:val="24"/>
                <w:szCs w:val="24"/>
                <w:highlight w:val="none"/>
              </w:rPr>
              <w:t>负责接收质疑</w:t>
            </w:r>
          </w:p>
        </w:tc>
        <w:tc>
          <w:tcPr>
            <w:tcW w:w="2976" w:type="dxa"/>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电话0592-2218761</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传真0592-5706660-6969</w:t>
            </w:r>
          </w:p>
          <w:p>
            <w:pPr>
              <w:spacing w:line="360" w:lineRule="auto"/>
              <w:rPr>
                <w:rFonts w:ascii="宋体" w:hAnsi="宋体" w:cs="宋体"/>
                <w:color w:val="auto"/>
                <w:sz w:val="24"/>
                <w:szCs w:val="24"/>
                <w:highlight w:val="none"/>
              </w:rPr>
            </w:pPr>
            <w:r>
              <w:rPr>
                <w:color w:val="auto"/>
                <w:highlight w:val="none"/>
              </w:rPr>
              <w:fldChar w:fldCharType="begin"/>
            </w:r>
            <w:r>
              <w:rPr>
                <w:color w:val="auto"/>
                <w:highlight w:val="none"/>
              </w:rPr>
              <w:instrText xml:space="preserve"> HYPERLINK "mailto:邮箱hcq@iport.com.cn" </w:instrText>
            </w:r>
            <w:r>
              <w:rPr>
                <w:color w:val="auto"/>
                <w:highlight w:val="none"/>
              </w:rPr>
              <w:fldChar w:fldCharType="separate"/>
            </w:r>
            <w:r>
              <w:rPr>
                <w:rFonts w:hint="eastAsia" w:ascii="宋体" w:hAnsi="宋体" w:cs="宋体"/>
                <w:color w:val="auto"/>
                <w:sz w:val="24"/>
                <w:szCs w:val="24"/>
                <w:highlight w:val="none"/>
              </w:rPr>
              <w:t>邮箱lmf@iport.com.cn</w:t>
            </w:r>
            <w:r>
              <w:rPr>
                <w:rFonts w:hint="eastAsia" w:ascii="宋体" w:hAnsi="宋体" w:cs="宋体"/>
                <w:color w:val="auto"/>
                <w:sz w:val="24"/>
                <w:szCs w:val="24"/>
                <w:highlight w:val="none"/>
              </w:rPr>
              <w:fldChar w:fldCharType="end"/>
            </w:r>
          </w:p>
          <w:p>
            <w:pPr>
              <w:spacing w:line="360" w:lineRule="auto"/>
              <w:rPr>
                <w:rFonts w:ascii="宋体" w:hAnsi="宋体" w:cs="宋体"/>
                <w:color w:val="auto"/>
                <w:kern w:val="0"/>
                <w:sz w:val="24"/>
                <w:szCs w:val="24"/>
                <w:highlight w:val="none"/>
              </w:rPr>
            </w:pPr>
            <w:r>
              <w:rPr>
                <w:rFonts w:hint="eastAsia" w:ascii="宋体" w:hAnsi="宋体" w:cs="宋体"/>
                <w:color w:val="auto"/>
                <w:sz w:val="24"/>
                <w:szCs w:val="24"/>
                <w:highlight w:val="none"/>
              </w:rPr>
              <w:t>通讯地址：厦门市湖里区机场北路476号4楼</w:t>
            </w:r>
          </w:p>
        </w:tc>
      </w:tr>
    </w:tbl>
    <w:p>
      <w:pPr>
        <w:tabs>
          <w:tab w:val="left" w:pos="114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13、投标保证金及代理服务费缴交账户：</w:t>
      </w:r>
    </w:p>
    <w:tbl>
      <w:tblPr>
        <w:tblStyle w:val="12"/>
        <w:tblW w:w="0" w:type="auto"/>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326"/>
        <w:gridCol w:w="7842"/>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0" w:hRule="atLeast"/>
          <w:jc w:val="center"/>
        </w:trPr>
        <w:tc>
          <w:tcPr>
            <w:tcW w:w="1326" w:type="dxa"/>
            <w:vAlign w:val="center"/>
          </w:tcPr>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类   别</w:t>
            </w:r>
          </w:p>
        </w:tc>
        <w:tc>
          <w:tcPr>
            <w:tcW w:w="7842" w:type="dxa"/>
            <w:vAlign w:val="center"/>
          </w:tcPr>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代理服务费缴交账户</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35" w:hRule="atLeast"/>
          <w:jc w:val="center"/>
        </w:trPr>
        <w:tc>
          <w:tcPr>
            <w:tcW w:w="1326"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开 户 行</w:t>
            </w:r>
          </w:p>
        </w:tc>
        <w:tc>
          <w:tcPr>
            <w:tcW w:w="7842"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中国建设银行股份有限公司厦门自贸试验区航空港支行</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326"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账    号</w:t>
            </w:r>
          </w:p>
        </w:tc>
        <w:tc>
          <w:tcPr>
            <w:tcW w:w="7842"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35101570201052504219</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326"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户名</w:t>
            </w:r>
          </w:p>
        </w:tc>
        <w:tc>
          <w:tcPr>
            <w:tcW w:w="7842"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厦门万翔招标有限公司</w:t>
            </w:r>
          </w:p>
        </w:tc>
      </w:tr>
    </w:tbl>
    <w:p>
      <w:pPr>
        <w:tabs>
          <w:tab w:val="left" w:pos="1140"/>
        </w:tabs>
        <w:spacing w:line="360" w:lineRule="auto"/>
        <w:ind w:firstLine="560"/>
        <w:rPr>
          <w:rFonts w:ascii="宋体" w:hAnsi="宋体" w:cs="宋体"/>
          <w:color w:val="auto"/>
          <w:sz w:val="24"/>
          <w:szCs w:val="24"/>
          <w:highlight w:val="none"/>
        </w:rPr>
      </w:pPr>
    </w:p>
    <w:p>
      <w:pPr>
        <w:spacing w:line="360" w:lineRule="auto"/>
        <w:ind w:firstLine="360"/>
        <w:rPr>
          <w:rFonts w:ascii="宋体" w:hAnsi="宋体" w:cs="宋体"/>
          <w:color w:val="auto"/>
          <w:sz w:val="24"/>
          <w:szCs w:val="24"/>
          <w:highlight w:val="none"/>
        </w:rPr>
      </w:pPr>
    </w:p>
    <w:p>
      <w:pPr>
        <w:spacing w:line="360" w:lineRule="auto"/>
        <w:ind w:firstLine="360"/>
        <w:rPr>
          <w:rFonts w:ascii="宋体" w:hAnsi="宋体" w:cs="宋体"/>
          <w:color w:val="auto"/>
          <w:sz w:val="24"/>
          <w:szCs w:val="24"/>
          <w:highlight w:val="none"/>
        </w:rPr>
      </w:pPr>
      <w:r>
        <w:rPr>
          <w:rFonts w:hint="eastAsia" w:ascii="宋体" w:hAnsi="宋体" w:cs="宋体"/>
          <w:color w:val="auto"/>
          <w:sz w:val="24"/>
          <w:szCs w:val="24"/>
          <w:highlight w:val="none"/>
        </w:rPr>
        <w:t>注：投标人须将相关的费用缴交至上表对应的账号，缴错账号而产生的一切后果由投标人自行承担。</w:t>
      </w:r>
    </w:p>
    <w:p>
      <w:pPr>
        <w:spacing w:line="360" w:lineRule="auto"/>
        <w:ind w:firstLine="360"/>
        <w:rPr>
          <w:rFonts w:ascii="宋体" w:hAnsi="宋体" w:cs="宋体"/>
          <w:b/>
          <w:color w:val="auto"/>
          <w:sz w:val="24"/>
          <w:szCs w:val="24"/>
          <w:highlight w:val="none"/>
        </w:rPr>
      </w:pPr>
    </w:p>
    <w:p>
      <w:pPr>
        <w:spacing w:line="360" w:lineRule="auto"/>
        <w:ind w:firstLine="480" w:firstLineChars="200"/>
        <w:rPr>
          <w:rFonts w:ascii="宋体" w:hAnsi="宋体" w:cs="宋体"/>
          <w:color w:val="auto"/>
          <w:sz w:val="24"/>
          <w:szCs w:val="24"/>
          <w:highlight w:val="none"/>
          <w:u w:val="single"/>
        </w:rPr>
      </w:pPr>
      <w:r>
        <w:rPr>
          <w:rFonts w:hint="eastAsia" w:ascii="宋体" w:hAnsi="宋体" w:cs="宋体"/>
          <w:color w:val="auto"/>
          <w:sz w:val="24"/>
          <w:szCs w:val="24"/>
          <w:highlight w:val="none"/>
        </w:rPr>
        <w:t>招标代理机构：厦门万翔招标有限公司</w:t>
      </w:r>
    </w:p>
    <w:p>
      <w:pPr>
        <w:spacing w:line="360" w:lineRule="auto"/>
        <w:ind w:firstLine="480"/>
        <w:rPr>
          <w:rFonts w:ascii="宋体" w:hAnsi="宋体" w:cs="宋体"/>
          <w:color w:val="auto"/>
          <w:sz w:val="24"/>
          <w:szCs w:val="24"/>
          <w:highlight w:val="none"/>
        </w:rPr>
      </w:pPr>
      <w:r>
        <w:rPr>
          <w:rFonts w:hint="eastAsia" w:ascii="宋体" w:hAnsi="宋体" w:cs="宋体"/>
          <w:color w:val="auto"/>
          <w:sz w:val="24"/>
          <w:szCs w:val="24"/>
          <w:highlight w:val="none"/>
        </w:rPr>
        <w:t xml:space="preserve">地  址：厦门市湖里区机场北路476号四楼 </w:t>
      </w:r>
    </w:p>
    <w:p>
      <w:pPr>
        <w:tabs>
          <w:tab w:val="left" w:pos="2775"/>
        </w:tabs>
        <w:spacing w:line="360" w:lineRule="auto"/>
        <w:ind w:firstLine="465"/>
        <w:rPr>
          <w:rFonts w:ascii="宋体" w:hAnsi="宋体" w:cs="宋体"/>
          <w:color w:val="auto"/>
          <w:sz w:val="24"/>
          <w:szCs w:val="24"/>
          <w:highlight w:val="none"/>
        </w:rPr>
      </w:pPr>
      <w:r>
        <w:rPr>
          <w:rFonts w:hint="eastAsia" w:ascii="宋体" w:hAnsi="宋体" w:cs="宋体"/>
          <w:color w:val="auto"/>
          <w:sz w:val="24"/>
          <w:szCs w:val="24"/>
          <w:highlight w:val="none"/>
        </w:rPr>
        <w:t>邮  编： 361006</w:t>
      </w:r>
    </w:p>
    <w:p>
      <w:pPr>
        <w:spacing w:line="360" w:lineRule="auto"/>
        <w:ind w:firstLine="482" w:firstLineChars="200"/>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合同款项事宜联系人：陈志鹏</w:t>
      </w:r>
      <w:r>
        <w:rPr>
          <w:rFonts w:hint="eastAsia" w:ascii="宋体" w:hAnsi="宋体" w:cs="宋体"/>
          <w:b/>
          <w:bCs/>
          <w:color w:val="auto"/>
          <w:kern w:val="0"/>
          <w:sz w:val="24"/>
          <w:szCs w:val="24"/>
          <w:highlight w:val="none"/>
          <w:lang w:val="en-US" w:eastAsia="zh-CN"/>
        </w:rPr>
        <w:t xml:space="preserve"> </w:t>
      </w:r>
      <w:r>
        <w:rPr>
          <w:rFonts w:hint="eastAsia" w:ascii="宋体" w:hAnsi="宋体" w:cs="宋体"/>
          <w:b/>
          <w:bCs/>
          <w:color w:val="auto"/>
          <w:kern w:val="0"/>
          <w:sz w:val="24"/>
          <w:szCs w:val="24"/>
          <w:highlight w:val="none"/>
        </w:rPr>
        <w:t>0592-5706825</w:t>
      </w:r>
    </w:p>
    <w:p>
      <w:pPr>
        <w:pStyle w:val="5"/>
        <w:ind w:firstLine="210"/>
        <w:rPr>
          <w:color w:val="auto"/>
          <w:highlight w:val="none"/>
        </w:rPr>
      </w:pPr>
    </w:p>
    <w:p>
      <w:pPr>
        <w:tabs>
          <w:tab w:val="left" w:pos="2775"/>
        </w:tabs>
        <w:spacing w:line="360" w:lineRule="auto"/>
        <w:ind w:firstLine="465"/>
        <w:rPr>
          <w:rFonts w:ascii="宋体" w:hAnsi="宋体" w:cs="宋体"/>
          <w:color w:val="auto"/>
          <w:sz w:val="24"/>
          <w:szCs w:val="24"/>
          <w:highlight w:val="none"/>
        </w:rPr>
      </w:pPr>
    </w:p>
    <w:p>
      <w:pPr>
        <w:tabs>
          <w:tab w:val="left" w:pos="2775"/>
        </w:tabs>
        <w:spacing w:line="360" w:lineRule="auto"/>
        <w:ind w:firstLine="465"/>
        <w:rPr>
          <w:rFonts w:ascii="宋体" w:hAnsi="宋体" w:cs="宋体"/>
          <w:color w:val="auto"/>
          <w:sz w:val="24"/>
          <w:szCs w:val="24"/>
          <w:highlight w:val="none"/>
        </w:rPr>
      </w:pPr>
    </w:p>
    <w:p>
      <w:pPr>
        <w:tabs>
          <w:tab w:val="left" w:pos="2775"/>
        </w:tabs>
        <w:spacing w:line="360" w:lineRule="auto"/>
        <w:ind w:firstLine="465"/>
        <w:rPr>
          <w:rFonts w:ascii="宋体" w:hAnsi="宋体" w:cs="宋体"/>
          <w:color w:val="auto"/>
          <w:sz w:val="24"/>
          <w:szCs w:val="24"/>
          <w:highlight w:val="none"/>
        </w:rPr>
      </w:pPr>
    </w:p>
    <w:p>
      <w:pPr>
        <w:tabs>
          <w:tab w:val="left" w:pos="2775"/>
        </w:tabs>
        <w:spacing w:line="360" w:lineRule="auto"/>
        <w:ind w:firstLine="465"/>
        <w:rPr>
          <w:rFonts w:ascii="宋体" w:hAnsi="宋体" w:cs="宋体"/>
          <w:color w:val="auto"/>
          <w:sz w:val="24"/>
          <w:szCs w:val="24"/>
          <w:highlight w:val="none"/>
        </w:rPr>
      </w:pPr>
    </w:p>
    <w:p>
      <w:pPr>
        <w:tabs>
          <w:tab w:val="left" w:pos="2775"/>
        </w:tabs>
        <w:spacing w:line="360" w:lineRule="auto"/>
        <w:ind w:firstLine="465"/>
        <w:rPr>
          <w:rFonts w:ascii="宋体" w:hAnsi="宋体" w:cs="宋体"/>
          <w:color w:val="auto"/>
          <w:sz w:val="24"/>
          <w:szCs w:val="24"/>
          <w:highlight w:val="none"/>
        </w:rPr>
      </w:pPr>
    </w:p>
    <w:p>
      <w:pPr>
        <w:tabs>
          <w:tab w:val="left" w:pos="2775"/>
        </w:tabs>
        <w:spacing w:line="360" w:lineRule="auto"/>
        <w:ind w:firstLine="465"/>
        <w:rPr>
          <w:rFonts w:ascii="宋体" w:hAnsi="宋体" w:cs="宋体"/>
          <w:color w:val="auto"/>
          <w:sz w:val="24"/>
          <w:szCs w:val="24"/>
          <w:highlight w:val="none"/>
        </w:rPr>
      </w:pPr>
    </w:p>
    <w:p>
      <w:pPr>
        <w:tabs>
          <w:tab w:val="left" w:pos="2775"/>
        </w:tabs>
        <w:spacing w:line="360" w:lineRule="auto"/>
        <w:ind w:firstLine="465"/>
        <w:rPr>
          <w:rFonts w:ascii="宋体" w:hAnsi="宋体" w:cs="宋体"/>
          <w:color w:val="auto"/>
          <w:sz w:val="24"/>
          <w:szCs w:val="24"/>
          <w:highlight w:val="none"/>
        </w:rPr>
      </w:pPr>
    </w:p>
    <w:p>
      <w:pPr>
        <w:tabs>
          <w:tab w:val="left" w:pos="2775"/>
        </w:tabs>
        <w:spacing w:line="360" w:lineRule="auto"/>
        <w:ind w:firstLine="465"/>
        <w:rPr>
          <w:rFonts w:ascii="宋体" w:hAnsi="宋体" w:cs="宋体"/>
          <w:color w:val="auto"/>
          <w:sz w:val="24"/>
          <w:szCs w:val="24"/>
          <w:highlight w:val="none"/>
        </w:rPr>
      </w:pPr>
    </w:p>
    <w:p>
      <w:pPr>
        <w:tabs>
          <w:tab w:val="left" w:pos="2775"/>
        </w:tabs>
        <w:spacing w:line="360" w:lineRule="auto"/>
        <w:ind w:firstLine="465"/>
        <w:rPr>
          <w:rFonts w:ascii="宋体" w:hAnsi="宋体" w:cs="宋体"/>
          <w:color w:val="auto"/>
          <w:sz w:val="24"/>
          <w:szCs w:val="24"/>
          <w:highlight w:val="none"/>
        </w:rPr>
      </w:pPr>
    </w:p>
    <w:p>
      <w:pPr>
        <w:tabs>
          <w:tab w:val="left" w:pos="2775"/>
        </w:tabs>
        <w:spacing w:line="360" w:lineRule="auto"/>
        <w:ind w:firstLine="465"/>
        <w:rPr>
          <w:rFonts w:ascii="宋体" w:hAnsi="宋体" w:cs="宋体"/>
          <w:color w:val="auto"/>
          <w:sz w:val="24"/>
          <w:szCs w:val="24"/>
          <w:highlight w:val="none"/>
        </w:rPr>
      </w:pPr>
    </w:p>
    <w:p>
      <w:pPr>
        <w:tabs>
          <w:tab w:val="left" w:pos="2775"/>
        </w:tabs>
        <w:spacing w:line="360" w:lineRule="auto"/>
        <w:ind w:firstLine="465"/>
        <w:rPr>
          <w:rFonts w:ascii="宋体" w:hAnsi="宋体" w:cs="宋体"/>
          <w:color w:val="auto"/>
          <w:sz w:val="24"/>
          <w:szCs w:val="24"/>
          <w:highlight w:val="none"/>
        </w:rPr>
      </w:pPr>
    </w:p>
    <w:p>
      <w:pPr>
        <w:spacing w:line="360" w:lineRule="auto"/>
        <w:rPr>
          <w:rFonts w:ascii="宋体" w:hAnsi="宋体" w:cs="宋体"/>
          <w:color w:val="auto"/>
          <w:sz w:val="32"/>
          <w:szCs w:val="32"/>
          <w:highlight w:val="none"/>
        </w:rPr>
      </w:pPr>
    </w:p>
    <w:p>
      <w:pPr>
        <w:spacing w:line="360" w:lineRule="auto"/>
        <w:rPr>
          <w:rFonts w:ascii="宋体" w:hAnsi="宋体" w:cs="宋体"/>
          <w:color w:val="auto"/>
          <w:sz w:val="32"/>
          <w:szCs w:val="32"/>
          <w:highlight w:val="none"/>
        </w:rPr>
      </w:pPr>
    </w:p>
    <w:p>
      <w:pPr>
        <w:spacing w:line="360" w:lineRule="auto"/>
        <w:rPr>
          <w:rFonts w:ascii="宋体" w:hAnsi="宋体" w:cs="宋体"/>
          <w:color w:val="auto"/>
          <w:sz w:val="32"/>
          <w:szCs w:val="32"/>
          <w:highlight w:val="none"/>
        </w:rPr>
      </w:pPr>
    </w:p>
    <w:p>
      <w:pPr>
        <w:spacing w:line="360" w:lineRule="auto"/>
        <w:rPr>
          <w:rFonts w:ascii="宋体" w:hAnsi="宋体" w:cs="宋体"/>
          <w:color w:val="auto"/>
          <w:sz w:val="32"/>
          <w:szCs w:val="32"/>
          <w:highlight w:val="none"/>
        </w:rPr>
      </w:pPr>
    </w:p>
    <w:p>
      <w:pPr>
        <w:spacing w:line="360" w:lineRule="auto"/>
        <w:rPr>
          <w:rFonts w:ascii="宋体" w:hAnsi="宋体" w:cs="宋体"/>
          <w:color w:val="auto"/>
          <w:sz w:val="32"/>
          <w:szCs w:val="32"/>
          <w:highlight w:val="none"/>
        </w:rPr>
      </w:pPr>
    </w:p>
    <w:p>
      <w:pPr>
        <w:spacing w:line="360" w:lineRule="auto"/>
        <w:rPr>
          <w:rFonts w:ascii="宋体" w:hAnsi="宋体" w:cs="宋体"/>
          <w:color w:val="auto"/>
          <w:sz w:val="32"/>
          <w:szCs w:val="32"/>
          <w:highlight w:val="none"/>
        </w:rPr>
      </w:pPr>
    </w:p>
    <w:p>
      <w:pPr>
        <w:spacing w:line="360" w:lineRule="auto"/>
        <w:rPr>
          <w:rFonts w:ascii="宋体" w:hAnsi="宋体" w:cs="宋体"/>
          <w:color w:val="auto"/>
          <w:sz w:val="32"/>
          <w:szCs w:val="32"/>
          <w:highlight w:val="none"/>
        </w:rPr>
      </w:pPr>
    </w:p>
    <w:p>
      <w:pPr>
        <w:pStyle w:val="5"/>
        <w:ind w:firstLine="210"/>
        <w:rPr>
          <w:color w:val="auto"/>
          <w:highlight w:val="none"/>
        </w:rPr>
      </w:pPr>
    </w:p>
    <w:p>
      <w:pPr>
        <w:spacing w:line="360" w:lineRule="auto"/>
        <w:rPr>
          <w:rFonts w:ascii="宋体" w:hAnsi="宋体" w:cs="宋体"/>
          <w:color w:val="auto"/>
          <w:sz w:val="32"/>
          <w:szCs w:val="32"/>
          <w:highlight w:val="none"/>
        </w:rPr>
      </w:pPr>
      <w:r>
        <w:rPr>
          <w:rFonts w:hint="eastAsia" w:ascii="宋体" w:hAnsi="宋体" w:cs="宋体"/>
          <w:color w:val="auto"/>
          <w:sz w:val="32"/>
          <w:szCs w:val="32"/>
          <w:highlight w:val="none"/>
        </w:rPr>
        <w:t>附：招标货物一览表</w:t>
      </w:r>
    </w:p>
    <w:p>
      <w:pPr>
        <w:spacing w:line="360" w:lineRule="auto"/>
        <w:jc w:val="center"/>
        <w:rPr>
          <w:rFonts w:ascii="宋体" w:hAnsi="宋体" w:cs="宋体"/>
          <w:b/>
          <w:color w:val="auto"/>
          <w:sz w:val="32"/>
          <w:szCs w:val="32"/>
          <w:highlight w:val="none"/>
        </w:rPr>
      </w:pPr>
      <w:r>
        <w:rPr>
          <w:rFonts w:hint="eastAsia" w:ascii="宋体" w:hAnsi="宋体" w:cs="宋体"/>
          <w:b/>
          <w:color w:val="auto"/>
          <w:sz w:val="32"/>
          <w:szCs w:val="32"/>
          <w:highlight w:val="none"/>
        </w:rPr>
        <w:t>招标货物一览表</w:t>
      </w:r>
    </w:p>
    <w:tbl>
      <w:tblPr>
        <w:tblStyle w:val="12"/>
        <w:tblW w:w="9129" w:type="dxa"/>
        <w:tblInd w:w="-7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8"/>
        <w:gridCol w:w="952"/>
        <w:gridCol w:w="1716"/>
        <w:gridCol w:w="2455"/>
        <w:gridCol w:w="2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1218" w:type="dxa"/>
            <w:tcBorders>
              <w:top w:val="single" w:color="auto" w:sz="4" w:space="0"/>
              <w:left w:val="single" w:color="auto" w:sz="4" w:space="0"/>
              <w:bottom w:val="single" w:color="auto" w:sz="4" w:space="0"/>
              <w:right w:val="single" w:color="auto" w:sz="4" w:space="0"/>
            </w:tcBorders>
            <w:vAlign w:val="center"/>
          </w:tcPr>
          <w:p>
            <w:pPr>
              <w:pStyle w:val="4"/>
              <w:tabs>
                <w:tab w:val="left" w:pos="8360"/>
              </w:tabs>
              <w:spacing w:line="360" w:lineRule="auto"/>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合同包</w:t>
            </w:r>
          </w:p>
        </w:tc>
        <w:tc>
          <w:tcPr>
            <w:tcW w:w="952" w:type="dxa"/>
            <w:tcBorders>
              <w:top w:val="single" w:color="auto" w:sz="4" w:space="0"/>
              <w:left w:val="single" w:color="auto" w:sz="4" w:space="0"/>
              <w:bottom w:val="single" w:color="auto" w:sz="4" w:space="0"/>
              <w:right w:val="single" w:color="auto" w:sz="4" w:space="0"/>
            </w:tcBorders>
            <w:vAlign w:val="center"/>
          </w:tcPr>
          <w:p>
            <w:pPr>
              <w:pStyle w:val="4"/>
              <w:tabs>
                <w:tab w:val="left" w:pos="8360"/>
              </w:tabs>
              <w:spacing w:line="360" w:lineRule="auto"/>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品目号</w:t>
            </w:r>
          </w:p>
        </w:tc>
        <w:tc>
          <w:tcPr>
            <w:tcW w:w="1716" w:type="dxa"/>
            <w:tcBorders>
              <w:top w:val="single" w:color="auto" w:sz="4" w:space="0"/>
              <w:left w:val="single" w:color="auto" w:sz="4" w:space="0"/>
              <w:bottom w:val="single" w:color="auto" w:sz="4" w:space="0"/>
              <w:right w:val="single" w:color="auto" w:sz="4" w:space="0"/>
            </w:tcBorders>
            <w:vAlign w:val="center"/>
          </w:tcPr>
          <w:p>
            <w:pPr>
              <w:pStyle w:val="4"/>
              <w:tabs>
                <w:tab w:val="left" w:pos="8360"/>
              </w:tabs>
              <w:spacing w:line="360" w:lineRule="auto"/>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货物名称</w:t>
            </w:r>
          </w:p>
        </w:tc>
        <w:tc>
          <w:tcPr>
            <w:tcW w:w="2455" w:type="dxa"/>
            <w:tcBorders>
              <w:top w:val="single" w:color="auto" w:sz="4" w:space="0"/>
              <w:left w:val="single" w:color="auto" w:sz="4" w:space="0"/>
              <w:bottom w:val="single" w:color="auto" w:sz="4" w:space="0"/>
              <w:right w:val="single" w:color="auto" w:sz="4" w:space="0"/>
            </w:tcBorders>
            <w:vAlign w:val="center"/>
          </w:tcPr>
          <w:p>
            <w:pPr>
              <w:pStyle w:val="4"/>
              <w:tabs>
                <w:tab w:val="left" w:pos="8360"/>
              </w:tabs>
              <w:spacing w:line="360" w:lineRule="auto"/>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主要技术规格</w:t>
            </w:r>
          </w:p>
        </w:tc>
        <w:tc>
          <w:tcPr>
            <w:tcW w:w="2788" w:type="dxa"/>
            <w:tcBorders>
              <w:top w:val="single" w:color="auto" w:sz="4" w:space="0"/>
              <w:left w:val="single" w:color="auto" w:sz="4" w:space="0"/>
              <w:bottom w:val="single" w:color="auto" w:sz="4" w:space="0"/>
              <w:right w:val="single" w:color="auto" w:sz="4" w:space="0"/>
            </w:tcBorders>
            <w:vAlign w:val="center"/>
          </w:tcPr>
          <w:p>
            <w:pPr>
              <w:pStyle w:val="4"/>
              <w:tabs>
                <w:tab w:val="left" w:pos="8360"/>
              </w:tabs>
              <w:spacing w:line="360" w:lineRule="auto"/>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交货地点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1218" w:type="dxa"/>
            <w:tcBorders>
              <w:top w:val="single" w:color="auto" w:sz="4" w:space="0"/>
              <w:left w:val="single" w:color="auto" w:sz="4" w:space="0"/>
              <w:bottom w:val="single" w:color="auto" w:sz="4" w:space="0"/>
              <w:right w:val="single" w:color="auto" w:sz="4" w:space="0"/>
            </w:tcBorders>
            <w:vAlign w:val="center"/>
          </w:tcPr>
          <w:p>
            <w:pPr>
              <w:pStyle w:val="4"/>
              <w:tabs>
                <w:tab w:val="left" w:pos="8360"/>
              </w:tabs>
              <w:spacing w:line="360" w:lineRule="auto"/>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w:t>
            </w:r>
          </w:p>
        </w:tc>
        <w:tc>
          <w:tcPr>
            <w:tcW w:w="952" w:type="dxa"/>
            <w:tcBorders>
              <w:top w:val="single" w:color="auto" w:sz="4" w:space="0"/>
              <w:left w:val="single" w:color="auto" w:sz="4" w:space="0"/>
              <w:bottom w:val="single" w:color="auto" w:sz="4" w:space="0"/>
              <w:right w:val="single" w:color="auto" w:sz="4" w:space="0"/>
            </w:tcBorders>
            <w:vAlign w:val="center"/>
          </w:tcPr>
          <w:p>
            <w:pPr>
              <w:pStyle w:val="4"/>
              <w:tabs>
                <w:tab w:val="left" w:pos="8360"/>
              </w:tabs>
              <w:spacing w:line="360" w:lineRule="auto"/>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1-1</w:t>
            </w:r>
          </w:p>
        </w:tc>
        <w:tc>
          <w:tcPr>
            <w:tcW w:w="1716" w:type="dxa"/>
            <w:tcBorders>
              <w:top w:val="single" w:color="auto" w:sz="4" w:space="0"/>
              <w:left w:val="single" w:color="auto" w:sz="4" w:space="0"/>
              <w:bottom w:val="single" w:color="auto" w:sz="4" w:space="0"/>
              <w:right w:val="single" w:color="auto" w:sz="4" w:space="0"/>
            </w:tcBorders>
            <w:vAlign w:val="center"/>
          </w:tcPr>
          <w:p>
            <w:pPr>
              <w:pStyle w:val="4"/>
              <w:tabs>
                <w:tab w:val="left" w:pos="8360"/>
              </w:tabs>
              <w:spacing w:line="360" w:lineRule="auto"/>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家具</w:t>
            </w:r>
          </w:p>
        </w:tc>
        <w:tc>
          <w:tcPr>
            <w:tcW w:w="2455" w:type="dxa"/>
            <w:tcBorders>
              <w:top w:val="single" w:color="auto" w:sz="4" w:space="0"/>
              <w:left w:val="single" w:color="auto" w:sz="4" w:space="0"/>
              <w:bottom w:val="single" w:color="auto" w:sz="4" w:space="0"/>
              <w:right w:val="single" w:color="auto" w:sz="4" w:space="0"/>
            </w:tcBorders>
            <w:vAlign w:val="center"/>
          </w:tcPr>
          <w:p>
            <w:pPr>
              <w:pStyle w:val="4"/>
              <w:tabs>
                <w:tab w:val="left" w:pos="8360"/>
              </w:tabs>
              <w:spacing w:line="360" w:lineRule="auto"/>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详见招标内容及要求</w:t>
            </w:r>
          </w:p>
        </w:tc>
        <w:tc>
          <w:tcPr>
            <w:tcW w:w="2788" w:type="dxa"/>
            <w:tcBorders>
              <w:top w:val="single" w:color="auto" w:sz="4" w:space="0"/>
              <w:left w:val="single" w:color="auto" w:sz="4" w:space="0"/>
              <w:bottom w:val="single" w:color="auto" w:sz="4" w:space="0"/>
              <w:right w:val="single" w:color="auto" w:sz="4" w:space="0"/>
            </w:tcBorders>
            <w:vAlign w:val="center"/>
          </w:tcPr>
          <w:p>
            <w:pPr>
              <w:pStyle w:val="4"/>
              <w:tabs>
                <w:tab w:val="left" w:pos="8360"/>
              </w:tabs>
              <w:spacing w:line="360" w:lineRule="auto"/>
              <w:rPr>
                <w:rFonts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使用单位指定地点</w:t>
            </w:r>
          </w:p>
        </w:tc>
      </w:tr>
    </w:tbl>
    <w:p>
      <w:pPr>
        <w:pStyle w:val="7"/>
        <w:tabs>
          <w:tab w:val="left" w:pos="8360"/>
        </w:tabs>
        <w:spacing w:line="360" w:lineRule="auto"/>
        <w:jc w:val="left"/>
        <w:rPr>
          <w:rFonts w:hAnsi="宋体" w:cs="宋体"/>
          <w:color w:val="auto"/>
          <w:sz w:val="24"/>
          <w:szCs w:val="24"/>
          <w:highlight w:val="none"/>
        </w:rPr>
      </w:pPr>
    </w:p>
    <w:p>
      <w:pPr>
        <w:pStyle w:val="7"/>
        <w:tabs>
          <w:tab w:val="left" w:pos="8360"/>
        </w:tabs>
        <w:spacing w:line="360" w:lineRule="auto"/>
        <w:jc w:val="left"/>
        <w:rPr>
          <w:rFonts w:hAnsi="宋体" w:cs="宋体"/>
          <w:color w:val="auto"/>
          <w:sz w:val="24"/>
          <w:szCs w:val="24"/>
          <w:highlight w:val="none"/>
        </w:rPr>
      </w:pPr>
      <w:r>
        <w:rPr>
          <w:rFonts w:hint="eastAsia" w:hAnsi="宋体" w:cs="宋体"/>
          <w:color w:val="auto"/>
          <w:sz w:val="24"/>
          <w:szCs w:val="24"/>
          <w:highlight w:val="none"/>
        </w:rPr>
        <w:t>注：投标人对同一合同包内所有品目号内容投标时必须完整。评标与授标以合同包为单位。</w:t>
      </w:r>
    </w:p>
    <w:p>
      <w:pPr>
        <w:pStyle w:val="7"/>
        <w:tabs>
          <w:tab w:val="left" w:pos="8360"/>
        </w:tabs>
        <w:spacing w:line="360" w:lineRule="auto"/>
        <w:jc w:val="left"/>
        <w:rPr>
          <w:rFonts w:hAnsi="宋体" w:cs="宋体"/>
          <w:color w:val="auto"/>
          <w:sz w:val="24"/>
          <w:szCs w:val="24"/>
          <w:highlight w:val="none"/>
        </w:rPr>
      </w:pPr>
    </w:p>
    <w:p>
      <w:pPr>
        <w:pStyle w:val="3"/>
        <w:spacing w:line="360" w:lineRule="auto"/>
        <w:ind w:firstLine="0"/>
        <w:rPr>
          <w:rFonts w:ascii="宋体" w:hAnsi="宋体" w:cs="宋体"/>
          <w:b/>
          <w:color w:val="auto"/>
          <w:sz w:val="24"/>
          <w:szCs w:val="24"/>
          <w:highlight w:val="none"/>
        </w:rPr>
        <w:sectPr>
          <w:footerReference r:id="rId6" w:type="default"/>
          <w:pgSz w:w="11906" w:h="16838"/>
          <w:pgMar w:top="1440" w:right="1106" w:bottom="1290" w:left="1800" w:header="851" w:footer="992" w:gutter="0"/>
          <w:pgNumType w:start="1"/>
          <w:cols w:space="720" w:num="1"/>
          <w:docGrid w:type="lines" w:linePitch="312" w:charSpace="0"/>
        </w:sectPr>
      </w:pPr>
    </w:p>
    <w:p>
      <w:pPr>
        <w:pStyle w:val="16"/>
        <w:spacing w:line="360" w:lineRule="auto"/>
        <w:jc w:val="center"/>
        <w:rPr>
          <w:rFonts w:hAnsi="宋体" w:cs="宋体"/>
          <w:b/>
          <w:color w:val="auto"/>
          <w:sz w:val="32"/>
          <w:szCs w:val="32"/>
          <w:highlight w:val="none"/>
        </w:rPr>
      </w:pPr>
      <w:r>
        <w:rPr>
          <w:rFonts w:hint="eastAsia" w:hAnsi="宋体" w:cs="宋体"/>
          <w:b/>
          <w:color w:val="auto"/>
          <w:sz w:val="32"/>
          <w:szCs w:val="32"/>
          <w:highlight w:val="none"/>
        </w:rPr>
        <w:t>第二章  投标人须知</w:t>
      </w:r>
    </w:p>
    <w:p>
      <w:pPr>
        <w:pStyle w:val="16"/>
        <w:spacing w:line="360" w:lineRule="auto"/>
        <w:jc w:val="center"/>
        <w:rPr>
          <w:rFonts w:hAnsi="宋体" w:cs="宋体"/>
          <w:color w:val="auto"/>
          <w:sz w:val="32"/>
          <w:szCs w:val="32"/>
          <w:highlight w:val="none"/>
        </w:rPr>
      </w:pPr>
      <w:r>
        <w:rPr>
          <w:rFonts w:hint="eastAsia" w:hAnsi="宋体" w:cs="宋体"/>
          <w:b/>
          <w:color w:val="auto"/>
          <w:sz w:val="32"/>
          <w:szCs w:val="32"/>
          <w:highlight w:val="none"/>
        </w:rPr>
        <w:t>投标人须知前附表1</w:t>
      </w:r>
    </w:p>
    <w:p>
      <w:pPr>
        <w:spacing w:line="360" w:lineRule="auto"/>
        <w:ind w:firstLine="527"/>
        <w:rPr>
          <w:rFonts w:ascii="宋体" w:hAnsi="宋体" w:cs="宋体"/>
          <w:color w:val="auto"/>
          <w:sz w:val="24"/>
          <w:szCs w:val="24"/>
          <w:highlight w:val="none"/>
        </w:rPr>
      </w:pPr>
      <w:r>
        <w:rPr>
          <w:rFonts w:hint="eastAsia" w:ascii="宋体" w:hAnsi="宋体" w:cs="宋体"/>
          <w:color w:val="auto"/>
          <w:sz w:val="24"/>
          <w:szCs w:val="24"/>
          <w:highlight w:val="none"/>
        </w:rPr>
        <w:t>本须知前附表1的条款号是与</w:t>
      </w:r>
      <w:r>
        <w:rPr>
          <w:rFonts w:ascii="宋体" w:hAnsi="宋体" w:cs="宋体"/>
          <w:color w:val="auto"/>
          <w:sz w:val="24"/>
          <w:szCs w:val="24"/>
          <w:highlight w:val="none"/>
        </w:rPr>
        <w:t>固定部分第二章</w:t>
      </w:r>
      <w:r>
        <w:rPr>
          <w:rFonts w:hint="eastAsia" w:ascii="宋体" w:hAnsi="宋体" w:cs="宋体"/>
          <w:color w:val="auto"/>
          <w:sz w:val="24"/>
          <w:szCs w:val="24"/>
          <w:highlight w:val="none"/>
        </w:rPr>
        <w:t xml:space="preserve">《投标人须知》中条款的项号相对应的。如有矛盾，应以本须知前附表为准。 </w:t>
      </w:r>
    </w:p>
    <w:tbl>
      <w:tblPr>
        <w:tblStyle w:val="12"/>
        <w:tblW w:w="93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080"/>
        <w:gridCol w:w="73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00" w:type="dxa"/>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项号</w:t>
            </w:r>
          </w:p>
        </w:tc>
        <w:tc>
          <w:tcPr>
            <w:tcW w:w="1080" w:type="dxa"/>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条款号</w:t>
            </w:r>
          </w:p>
        </w:tc>
        <w:tc>
          <w:tcPr>
            <w:tcW w:w="7380" w:type="dxa"/>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编   列   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0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w:t>
            </w:r>
          </w:p>
        </w:tc>
        <w:tc>
          <w:tcPr>
            <w:tcW w:w="108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1.1</w:t>
            </w:r>
          </w:p>
        </w:tc>
        <w:tc>
          <w:tcPr>
            <w:tcW w:w="7380" w:type="dxa"/>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项目名称： 厦门市第三中学学生宿舍家具采购项目</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采购单位名称：厦门万翔网络商务有限公司</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采购单位地址：厦门市湖里区机场北路476号五楼</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项目内容：宿舍家具 </w:t>
            </w:r>
          </w:p>
          <w:p>
            <w:pPr>
              <w:spacing w:line="360" w:lineRule="auto"/>
              <w:rPr>
                <w:rFonts w:ascii="宋体" w:hAnsi="宋体" w:cs="宋体"/>
                <w:color w:val="auto"/>
                <w:sz w:val="24"/>
                <w:szCs w:val="24"/>
                <w:highlight w:val="none"/>
                <w:u w:val="single"/>
              </w:rPr>
            </w:pPr>
            <w:r>
              <w:rPr>
                <w:rFonts w:hint="eastAsia" w:ascii="宋体" w:hAnsi="宋体" w:cs="宋体"/>
                <w:color w:val="auto"/>
                <w:sz w:val="24"/>
                <w:szCs w:val="24"/>
                <w:highlight w:val="none"/>
              </w:rPr>
              <w:t>项目编号：</w:t>
            </w:r>
            <w:r>
              <w:rPr>
                <w:rFonts w:hint="eastAsia" w:ascii="宋体" w:hAnsi="宋体" w:cs="宋体"/>
                <w:color w:val="auto"/>
                <w:sz w:val="24"/>
                <w:szCs w:val="24"/>
                <w:highlight w:val="none"/>
                <w:u w:val="single"/>
              </w:rPr>
              <w:t xml:space="preserve">XM2024-DZ0011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 w:hRule="atLeast"/>
          <w:jc w:val="center"/>
        </w:trPr>
        <w:tc>
          <w:tcPr>
            <w:tcW w:w="90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2</w:t>
            </w:r>
          </w:p>
        </w:tc>
        <w:tc>
          <w:tcPr>
            <w:tcW w:w="108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w:t>
            </w:r>
          </w:p>
        </w:tc>
        <w:tc>
          <w:tcPr>
            <w:tcW w:w="7380" w:type="dxa"/>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资格标准：</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详见第二章《投标人须知》第3条，以及第三章《招标内容及要求》有关内容。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w:t>
            </w:r>
          </w:p>
        </w:tc>
        <w:tc>
          <w:tcPr>
            <w:tcW w:w="108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11.1</w:t>
            </w:r>
          </w:p>
        </w:tc>
        <w:tc>
          <w:tcPr>
            <w:tcW w:w="7380" w:type="dxa"/>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投标有效期：投标截止之日起</w:t>
            </w:r>
            <w:r>
              <w:rPr>
                <w:rFonts w:hint="eastAsia" w:ascii="宋体" w:hAnsi="宋体" w:cs="宋体"/>
                <w:color w:val="auto"/>
                <w:sz w:val="24"/>
                <w:szCs w:val="24"/>
                <w:highlight w:val="none"/>
                <w:u w:val="single"/>
              </w:rPr>
              <w:t>90</w:t>
            </w:r>
            <w:r>
              <w:rPr>
                <w:rFonts w:hint="eastAsia" w:ascii="宋体" w:hAnsi="宋体" w:cs="宋体"/>
                <w:color w:val="auto"/>
                <w:sz w:val="24"/>
                <w:szCs w:val="24"/>
                <w:highlight w:val="none"/>
              </w:rPr>
              <w:t>个日历日。</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有效期不足将导致其投标文件被拒绝。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4</w:t>
            </w:r>
          </w:p>
        </w:tc>
        <w:tc>
          <w:tcPr>
            <w:tcW w:w="1080" w:type="dxa"/>
            <w:vAlign w:val="center"/>
          </w:tcPr>
          <w:p>
            <w:pPr>
              <w:spacing w:line="360" w:lineRule="auto"/>
              <w:jc w:val="center"/>
              <w:rPr>
                <w:rFonts w:ascii="宋体" w:hAnsi="宋体" w:cs="宋体"/>
                <w:color w:val="auto"/>
                <w:sz w:val="24"/>
                <w:szCs w:val="24"/>
                <w:highlight w:val="none"/>
              </w:rPr>
            </w:pPr>
          </w:p>
        </w:tc>
        <w:tc>
          <w:tcPr>
            <w:tcW w:w="7380" w:type="dxa"/>
            <w:vAlign w:val="center"/>
          </w:tcPr>
          <w:p>
            <w:pPr>
              <w:widowControl/>
              <w:spacing w:line="360" w:lineRule="auto"/>
              <w:jc w:val="left"/>
              <w:rPr>
                <w:rFonts w:ascii="宋体" w:hAnsi="宋体" w:cs="宋体"/>
                <w:color w:val="auto"/>
                <w:sz w:val="24"/>
                <w:szCs w:val="24"/>
                <w:highlight w:val="none"/>
              </w:rPr>
            </w:pPr>
            <w:r>
              <w:rPr>
                <w:rFonts w:hint="eastAsia" w:ascii="宋体" w:hAnsi="宋体" w:cs="宋体"/>
                <w:color w:val="auto"/>
                <w:kern w:val="0"/>
                <w:sz w:val="24"/>
                <w:szCs w:val="24"/>
                <w:highlight w:val="none"/>
              </w:rPr>
              <w:t>投标文件递交地址：</w:t>
            </w:r>
            <w:r>
              <w:rPr>
                <w:rFonts w:hint="eastAsia" w:ascii="宋体" w:hAnsi="宋体" w:cs="宋体"/>
                <w:b/>
                <w:color w:val="auto"/>
                <w:sz w:val="24"/>
                <w:szCs w:val="24"/>
                <w:highlight w:val="none"/>
                <w:u w:val="single"/>
              </w:rPr>
              <w:t>厦门市湖里区云顶北路842号厦门市政务服务中心4楼信息发布大厅东侧收标处</w:t>
            </w:r>
            <w:r>
              <w:rPr>
                <w:rFonts w:hint="eastAsia" w:ascii="宋体" w:hAnsi="宋体" w:cs="宋体"/>
                <w:b/>
                <w:color w:val="auto"/>
                <w:sz w:val="24"/>
                <w:szCs w:val="24"/>
                <w:highlight w:val="none"/>
                <w:u w:val="single"/>
              </w:rPr>
              <w:t>2号</w:t>
            </w:r>
            <w:r>
              <w:rPr>
                <w:rFonts w:hint="eastAsia" w:ascii="宋体" w:hAnsi="宋体" w:cs="宋体"/>
                <w:b/>
                <w:color w:val="auto"/>
                <w:sz w:val="24"/>
                <w:szCs w:val="24"/>
                <w:highlight w:val="none"/>
                <w:u w:val="single"/>
              </w:rPr>
              <w:t>收标窗口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5</w:t>
            </w:r>
          </w:p>
        </w:tc>
        <w:tc>
          <w:tcPr>
            <w:tcW w:w="108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12</w:t>
            </w:r>
          </w:p>
        </w:tc>
        <w:tc>
          <w:tcPr>
            <w:tcW w:w="7380" w:type="dxa"/>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投标保证金：本项目免收保证金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6</w:t>
            </w:r>
          </w:p>
        </w:tc>
        <w:tc>
          <w:tcPr>
            <w:tcW w:w="108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13.1</w:t>
            </w:r>
          </w:p>
        </w:tc>
        <w:tc>
          <w:tcPr>
            <w:tcW w:w="7380" w:type="dxa"/>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投标文件份数：正本一份、副本四份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pPr>
              <w:spacing w:line="360" w:lineRule="auto"/>
              <w:ind w:firstLine="240" w:firstLineChars="100"/>
              <w:rPr>
                <w:rFonts w:ascii="宋体" w:hAnsi="宋体" w:cs="宋体"/>
                <w:color w:val="auto"/>
                <w:sz w:val="24"/>
                <w:szCs w:val="24"/>
                <w:highlight w:val="none"/>
              </w:rPr>
            </w:pPr>
            <w:r>
              <w:rPr>
                <w:rFonts w:hint="eastAsia" w:ascii="宋体" w:hAnsi="宋体" w:cs="宋体"/>
                <w:color w:val="auto"/>
                <w:sz w:val="24"/>
                <w:szCs w:val="24"/>
                <w:highlight w:val="none"/>
              </w:rPr>
              <w:t>7</w:t>
            </w:r>
          </w:p>
        </w:tc>
        <w:tc>
          <w:tcPr>
            <w:tcW w:w="108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19.1</w:t>
            </w:r>
          </w:p>
        </w:tc>
        <w:tc>
          <w:tcPr>
            <w:tcW w:w="7380" w:type="dxa"/>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评标方法、标准及定标原则(含推荐中标候选供应商数量)：</w:t>
            </w:r>
          </w:p>
          <w:p>
            <w:pPr>
              <w:pStyle w:val="7"/>
              <w:spacing w:line="360" w:lineRule="auto"/>
              <w:rPr>
                <w:rFonts w:hAnsi="宋体" w:cs="宋体"/>
                <w:color w:val="auto"/>
                <w:sz w:val="24"/>
                <w:szCs w:val="24"/>
                <w:highlight w:val="none"/>
              </w:rPr>
            </w:pPr>
            <w:r>
              <w:rPr>
                <w:rFonts w:hint="eastAsia" w:hAnsi="宋体" w:cs="宋体"/>
                <w:color w:val="auto"/>
                <w:sz w:val="24"/>
                <w:szCs w:val="24"/>
                <w:highlight w:val="none"/>
              </w:rPr>
              <w:t>详见《投标人须知前附表3》。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8</w:t>
            </w:r>
          </w:p>
        </w:tc>
        <w:tc>
          <w:tcPr>
            <w:tcW w:w="1080" w:type="dxa"/>
            <w:vAlign w:val="center"/>
          </w:tcPr>
          <w:p>
            <w:pPr>
              <w:spacing w:line="360" w:lineRule="auto"/>
              <w:ind w:right="-63" w:rightChars="-30"/>
              <w:rPr>
                <w:rFonts w:ascii="宋体" w:hAnsi="宋体" w:cs="宋体"/>
                <w:color w:val="auto"/>
                <w:sz w:val="24"/>
                <w:szCs w:val="24"/>
                <w:highlight w:val="none"/>
              </w:rPr>
            </w:pPr>
            <w:r>
              <w:rPr>
                <w:rFonts w:hint="eastAsia" w:ascii="宋体" w:hAnsi="宋体" w:cs="宋体"/>
                <w:color w:val="auto"/>
                <w:sz w:val="24"/>
                <w:szCs w:val="24"/>
                <w:highlight w:val="none"/>
              </w:rPr>
              <w:t>12.9</w:t>
            </w:r>
          </w:p>
        </w:tc>
        <w:tc>
          <w:tcPr>
            <w:tcW w:w="7380" w:type="dxa"/>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代理服务费：</w:t>
            </w:r>
          </w:p>
          <w:p>
            <w:pPr>
              <w:adjustRightInd w:val="0"/>
              <w:snapToGrid w:val="0"/>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1、代理服务费收费标准：</w:t>
            </w:r>
          </w:p>
          <w:tbl>
            <w:tblPr>
              <w:tblStyle w:val="12"/>
              <w:tblW w:w="0" w:type="auto"/>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1"/>
              <w:gridCol w:w="2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21" w:type="dxa"/>
                </w:tcPr>
                <w:p>
                  <w:pPr>
                    <w:adjustRightInd w:val="0"/>
                    <w:snapToGrid w:val="0"/>
                    <w:spacing w:line="360" w:lineRule="auto"/>
                    <w:ind w:firstLine="120" w:firstLineChars="50"/>
                    <w:rPr>
                      <w:rFonts w:ascii="宋体" w:hAnsi="宋体" w:cs="宋体"/>
                      <w:color w:val="auto"/>
                      <w:sz w:val="24"/>
                      <w:szCs w:val="24"/>
                      <w:highlight w:val="none"/>
                    </w:rPr>
                  </w:pPr>
                  <w:r>
                    <w:rPr>
                      <w:rFonts w:hint="eastAsia" w:ascii="宋体" w:hAnsi="宋体" w:cs="宋体"/>
                      <w:color w:val="auto"/>
                      <w:sz w:val="24"/>
                      <w:szCs w:val="24"/>
                      <w:highlight w:val="none"/>
                    </w:rPr>
                    <w:t>中标金额(万元)</w:t>
                  </w:r>
                </w:p>
              </w:tc>
              <w:tc>
                <w:tcPr>
                  <w:tcW w:w="2700" w:type="dxa"/>
                </w:tcPr>
                <w:p>
                  <w:pPr>
                    <w:adjustRightInd w:val="0"/>
                    <w:snapToGrid w:val="0"/>
                    <w:spacing w:line="360" w:lineRule="auto"/>
                    <w:ind w:firstLine="120" w:firstLineChars="50"/>
                    <w:rPr>
                      <w:rFonts w:ascii="宋体" w:hAnsi="宋体" w:cs="宋体"/>
                      <w:color w:val="auto"/>
                      <w:sz w:val="24"/>
                      <w:szCs w:val="24"/>
                      <w:highlight w:val="none"/>
                    </w:rPr>
                  </w:pPr>
                  <w:r>
                    <w:rPr>
                      <w:rFonts w:hint="eastAsia" w:ascii="宋体" w:hAnsi="宋体" w:cs="宋体"/>
                      <w:color w:val="auto"/>
                      <w:sz w:val="24"/>
                      <w:szCs w:val="24"/>
                      <w:highlight w:val="none"/>
                    </w:rPr>
                    <w:t>费率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pPr>
                    <w:adjustRightInd w:val="0"/>
                    <w:snapToGrid w:val="0"/>
                    <w:spacing w:line="360" w:lineRule="auto"/>
                    <w:ind w:firstLine="120" w:firstLineChars="50"/>
                    <w:rPr>
                      <w:rFonts w:ascii="宋体" w:hAnsi="宋体" w:cs="宋体"/>
                      <w:color w:val="auto"/>
                      <w:sz w:val="24"/>
                      <w:szCs w:val="24"/>
                      <w:highlight w:val="none"/>
                    </w:rPr>
                  </w:pPr>
                  <w:r>
                    <w:rPr>
                      <w:rFonts w:hint="eastAsia" w:ascii="宋体" w:hAnsi="宋体" w:cs="宋体"/>
                      <w:color w:val="auto"/>
                      <w:sz w:val="24"/>
                      <w:szCs w:val="24"/>
                      <w:highlight w:val="none"/>
                    </w:rPr>
                    <w:t>[0―100]</w:t>
                  </w:r>
                </w:p>
              </w:tc>
              <w:tc>
                <w:tcPr>
                  <w:tcW w:w="2700" w:type="dxa"/>
                </w:tcPr>
                <w:p>
                  <w:pPr>
                    <w:adjustRightInd w:val="0"/>
                    <w:snapToGrid w:val="0"/>
                    <w:spacing w:line="360" w:lineRule="auto"/>
                    <w:ind w:firstLine="120" w:firstLineChars="50"/>
                    <w:rPr>
                      <w:rFonts w:ascii="宋体" w:hAnsi="宋体" w:cs="宋体"/>
                      <w:color w:val="auto"/>
                      <w:sz w:val="24"/>
                      <w:szCs w:val="24"/>
                      <w:highlight w:val="none"/>
                    </w:rPr>
                  </w:pPr>
                  <w:r>
                    <w:rPr>
                      <w:rFonts w:hint="eastAsia" w:ascii="宋体" w:hAnsi="宋体" w:cs="宋体"/>
                      <w:color w:val="auto"/>
                      <w:sz w:val="24"/>
                      <w:szCs w:val="24"/>
                      <w:highlight w:val="none"/>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pPr>
                    <w:adjustRightInd w:val="0"/>
                    <w:snapToGrid w:val="0"/>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（100－500]</w:t>
                  </w:r>
                </w:p>
              </w:tc>
              <w:tc>
                <w:tcPr>
                  <w:tcW w:w="2700" w:type="dxa"/>
                </w:tcPr>
                <w:p>
                  <w:pPr>
                    <w:adjustRightInd w:val="0"/>
                    <w:snapToGrid w:val="0"/>
                    <w:spacing w:line="360" w:lineRule="auto"/>
                    <w:ind w:firstLine="120" w:firstLineChars="50"/>
                    <w:rPr>
                      <w:rFonts w:ascii="宋体" w:hAnsi="宋体" w:cs="宋体"/>
                      <w:color w:val="auto"/>
                      <w:sz w:val="24"/>
                      <w:szCs w:val="24"/>
                      <w:highlight w:val="none"/>
                    </w:rPr>
                  </w:pPr>
                  <w:r>
                    <w:rPr>
                      <w:rFonts w:hint="eastAsia" w:ascii="宋体" w:hAnsi="宋体" w:cs="宋体"/>
                      <w:color w:val="auto"/>
                      <w:sz w:val="24"/>
                      <w:szCs w:val="24"/>
                      <w:highlight w:val="none"/>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pPr>
                    <w:adjustRightInd w:val="0"/>
                    <w:snapToGrid w:val="0"/>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（500-1000]</w:t>
                  </w:r>
                </w:p>
              </w:tc>
              <w:tc>
                <w:tcPr>
                  <w:tcW w:w="2700" w:type="dxa"/>
                </w:tcPr>
                <w:p>
                  <w:pPr>
                    <w:adjustRightInd w:val="0"/>
                    <w:snapToGrid w:val="0"/>
                    <w:spacing w:line="360" w:lineRule="auto"/>
                    <w:ind w:firstLine="120" w:firstLineChars="50"/>
                    <w:rPr>
                      <w:rFonts w:ascii="宋体" w:hAnsi="宋体" w:cs="宋体"/>
                      <w:color w:val="auto"/>
                      <w:sz w:val="24"/>
                      <w:szCs w:val="24"/>
                      <w:highlight w:val="none"/>
                    </w:rPr>
                  </w:pPr>
                  <w:r>
                    <w:rPr>
                      <w:rFonts w:hint="eastAsia" w:ascii="宋体" w:hAnsi="宋体" w:cs="宋体"/>
                      <w:color w:val="auto"/>
                      <w:sz w:val="24"/>
                      <w:szCs w:val="24"/>
                      <w:highlight w:val="none"/>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pPr>
                    <w:adjustRightInd w:val="0"/>
                    <w:snapToGrid w:val="0"/>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（1000-5000]</w:t>
                  </w:r>
                </w:p>
              </w:tc>
              <w:tc>
                <w:tcPr>
                  <w:tcW w:w="2700" w:type="dxa"/>
                </w:tcPr>
                <w:p>
                  <w:pPr>
                    <w:adjustRightInd w:val="0"/>
                    <w:snapToGrid w:val="0"/>
                    <w:spacing w:line="360" w:lineRule="auto"/>
                    <w:ind w:firstLine="120" w:firstLineChars="50"/>
                    <w:rPr>
                      <w:rFonts w:ascii="宋体" w:hAnsi="宋体" w:cs="宋体"/>
                      <w:color w:val="auto"/>
                      <w:sz w:val="24"/>
                      <w:szCs w:val="24"/>
                      <w:highlight w:val="none"/>
                    </w:rPr>
                  </w:pPr>
                  <w:r>
                    <w:rPr>
                      <w:rFonts w:hint="eastAsia" w:ascii="宋体" w:hAnsi="宋体" w:cs="宋体"/>
                      <w:color w:val="auto"/>
                      <w:sz w:val="24"/>
                      <w:szCs w:val="24"/>
                      <w:highlight w:val="none"/>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pPr>
                    <w:adjustRightInd w:val="0"/>
                    <w:snapToGrid w:val="0"/>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（5000-10000]</w:t>
                  </w:r>
                </w:p>
              </w:tc>
              <w:tc>
                <w:tcPr>
                  <w:tcW w:w="2700" w:type="dxa"/>
                </w:tcPr>
                <w:p>
                  <w:pPr>
                    <w:adjustRightInd w:val="0"/>
                    <w:snapToGrid w:val="0"/>
                    <w:spacing w:line="360" w:lineRule="auto"/>
                    <w:ind w:firstLine="120" w:firstLineChars="50"/>
                    <w:rPr>
                      <w:rFonts w:ascii="宋体" w:hAnsi="宋体" w:cs="宋体"/>
                      <w:color w:val="auto"/>
                      <w:sz w:val="24"/>
                      <w:szCs w:val="24"/>
                      <w:highlight w:val="none"/>
                    </w:rPr>
                  </w:pPr>
                  <w:r>
                    <w:rPr>
                      <w:rFonts w:hint="eastAsia" w:ascii="宋体" w:hAnsi="宋体" w:cs="宋体"/>
                      <w:color w:val="auto"/>
                      <w:sz w:val="24"/>
                      <w:szCs w:val="24"/>
                      <w:highlight w:val="none"/>
                    </w:rPr>
                    <w:t>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pPr>
                    <w:adjustRightInd w:val="0"/>
                    <w:snapToGrid w:val="0"/>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（10000-50000]</w:t>
                  </w:r>
                </w:p>
              </w:tc>
              <w:tc>
                <w:tcPr>
                  <w:tcW w:w="2700" w:type="dxa"/>
                </w:tcPr>
                <w:p>
                  <w:pPr>
                    <w:adjustRightInd w:val="0"/>
                    <w:snapToGrid w:val="0"/>
                    <w:spacing w:line="360" w:lineRule="auto"/>
                    <w:ind w:firstLine="120" w:firstLineChars="50"/>
                    <w:rPr>
                      <w:rFonts w:ascii="宋体" w:hAnsi="宋体" w:cs="宋体"/>
                      <w:color w:val="auto"/>
                      <w:sz w:val="24"/>
                      <w:szCs w:val="24"/>
                      <w:highlight w:val="none"/>
                    </w:rPr>
                  </w:pPr>
                  <w:r>
                    <w:rPr>
                      <w:rFonts w:hint="eastAsia" w:ascii="宋体" w:hAnsi="宋体" w:cs="宋体"/>
                      <w:color w:val="auto"/>
                      <w:sz w:val="24"/>
                      <w:szCs w:val="24"/>
                      <w:highlight w:val="non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pPr>
                    <w:adjustRightInd w:val="0"/>
                    <w:snapToGrid w:val="0"/>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（50000-100000]</w:t>
                  </w:r>
                </w:p>
              </w:tc>
              <w:tc>
                <w:tcPr>
                  <w:tcW w:w="2700" w:type="dxa"/>
                </w:tcPr>
                <w:p>
                  <w:pPr>
                    <w:adjustRightInd w:val="0"/>
                    <w:snapToGrid w:val="0"/>
                    <w:spacing w:line="360" w:lineRule="auto"/>
                    <w:ind w:firstLine="120" w:firstLineChars="50"/>
                    <w:rPr>
                      <w:rFonts w:ascii="宋体" w:hAnsi="宋体" w:cs="宋体"/>
                      <w:color w:val="auto"/>
                      <w:sz w:val="24"/>
                      <w:szCs w:val="24"/>
                      <w:highlight w:val="none"/>
                    </w:rPr>
                  </w:pPr>
                  <w:r>
                    <w:rPr>
                      <w:rFonts w:hint="eastAsia" w:ascii="宋体" w:hAnsi="宋体" w:cs="宋体"/>
                      <w:color w:val="auto"/>
                      <w:sz w:val="24"/>
                      <w:szCs w:val="24"/>
                      <w:highlight w:val="none"/>
                    </w:rPr>
                    <w:t>0.035%</w:t>
                  </w:r>
                </w:p>
              </w:tc>
            </w:tr>
          </w:tbl>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注：1、代理服务费的收取按差额定率累进法计算,由中标供应商支付。</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2、中标供应商以转账或汇款方式提交。</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3、中标供应商为中小企业的，其代理服务费按照上述服务收费标准下浮10%进行支付。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9</w:t>
            </w:r>
          </w:p>
        </w:tc>
        <w:tc>
          <w:tcPr>
            <w:tcW w:w="108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监督管理部门：</w:t>
            </w:r>
            <w:r>
              <w:rPr>
                <w:rFonts w:hint="eastAsia" w:ascii="宋体" w:hAnsi="宋体" w:cs="宋体"/>
                <w:color w:val="auto"/>
                <w:sz w:val="24"/>
                <w:szCs w:val="24"/>
                <w:highlight w:val="none"/>
              </w:rPr>
              <w:t>厦门市湖里区财政局</w:t>
            </w:r>
            <w:r>
              <w:rPr>
                <w:rFonts w:hint="eastAsia" w:ascii="宋体" w:hAnsi="宋体" w:cs="宋体"/>
                <w:color w:val="auto"/>
                <w:sz w:val="24"/>
                <w:szCs w:val="24"/>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auto"/>
              <w:ind w:left="0" w:leftChars="0" w:right="0" w:rightChars="0"/>
              <w:jc w:val="center"/>
              <w:rPr>
                <w:rFonts w:hint="eastAsia" w:ascii="宋体" w:hAnsi="宋体" w:cs="宋体"/>
                <w:color w:val="auto"/>
                <w:sz w:val="24"/>
                <w:szCs w:val="24"/>
                <w:highlight w:val="none"/>
              </w:rPr>
            </w:pPr>
            <w:r>
              <w:rPr>
                <w:rFonts w:hint="eastAsia" w:ascii="宋体" w:hAnsi="宋体" w:cs="宋体"/>
                <w:color w:val="auto"/>
                <w:sz w:val="24"/>
                <w:szCs w:val="24"/>
                <w:highlight w:val="none"/>
                <w:lang w:val="en-US" w:eastAsia="zh-CN"/>
              </w:rPr>
              <w:t>10</w:t>
            </w:r>
          </w:p>
        </w:tc>
        <w:tc>
          <w:tcPr>
            <w:tcW w:w="108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auto"/>
              <w:ind w:left="0" w:leftChars="0" w:right="0" w:rightChars="0"/>
              <w:jc w:val="center"/>
              <w:rPr>
                <w:rFonts w:ascii="宋体" w:hAnsi="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360" w:lineRule="auto"/>
              <w:ind w:left="0" w:leftChars="0" w:right="0" w:rightChars="0"/>
              <w:rPr>
                <w:rFonts w:hint="eastAsia" w:ascii="宋体" w:hAnsi="宋体" w:cs="宋体"/>
                <w:color w:val="auto"/>
                <w:sz w:val="24"/>
                <w:szCs w:val="24"/>
                <w:highlight w:val="none"/>
              </w:rPr>
            </w:pPr>
            <w:r>
              <w:rPr>
                <w:rFonts w:hint="eastAsia" w:ascii="宋体" w:hAnsi="宋体" w:eastAsia="宋体" w:cs="宋体"/>
                <w:color w:val="auto"/>
                <w:sz w:val="24"/>
                <w:szCs w:val="24"/>
                <w:highlight w:val="none"/>
              </w:rPr>
              <w:t>是否允许进口产品参加本采购项目：</w:t>
            </w:r>
            <w:r>
              <w:rPr>
                <w:rFonts w:hint="eastAsia" w:ascii="宋体" w:hAnsi="宋体" w:eastAsia="宋体" w:cs="宋体"/>
                <w:b/>
                <w:color w:val="auto"/>
                <w:sz w:val="24"/>
                <w:szCs w:val="24"/>
                <w:highlight w:val="none"/>
              </w:rPr>
              <w:t>□</w:t>
            </w:r>
            <w:r>
              <w:rPr>
                <w:rFonts w:hint="eastAsia" w:ascii="宋体" w:hAnsi="宋体" w:eastAsia="宋体" w:cs="宋体"/>
                <w:color w:val="auto"/>
                <w:sz w:val="24"/>
                <w:szCs w:val="24"/>
                <w:highlight w:val="none"/>
              </w:rPr>
              <w:t xml:space="preserve">是/ </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eq \o\ac(</w:instrText>
            </w:r>
            <w:r>
              <w:rPr>
                <w:rFonts w:hint="eastAsia" w:ascii="宋体" w:hAnsi="宋体" w:eastAsia="宋体" w:cs="宋体"/>
                <w:color w:val="auto"/>
                <w:position w:val="-4"/>
                <w:sz w:val="36"/>
                <w:szCs w:val="24"/>
                <w:highlight w:val="none"/>
              </w:rPr>
              <w:instrText xml:space="preserve">□</w:instrText>
            </w:r>
            <w:r>
              <w:rPr>
                <w:rFonts w:hint="eastAsia" w:ascii="宋体" w:hAnsi="宋体" w:eastAsia="宋体" w:cs="宋体"/>
                <w:color w:val="auto"/>
                <w:sz w:val="24"/>
                <w:szCs w:val="24"/>
                <w:highlight w:val="none"/>
              </w:rPr>
              <w:instrText xml:space="preserve">,√)</w:instrTex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否</w:t>
            </w:r>
          </w:p>
        </w:tc>
      </w:tr>
    </w:tbl>
    <w:p>
      <w:pPr>
        <w:tabs>
          <w:tab w:val="left" w:pos="-1080"/>
          <w:tab w:val="left" w:pos="180"/>
          <w:tab w:val="left" w:pos="1080"/>
        </w:tabs>
        <w:spacing w:line="360" w:lineRule="auto"/>
        <w:rPr>
          <w:rFonts w:ascii="宋体" w:hAnsi="宋体" w:cs="宋体"/>
          <w:b/>
          <w:color w:val="auto"/>
          <w:sz w:val="24"/>
          <w:szCs w:val="24"/>
          <w:highlight w:val="none"/>
        </w:rPr>
      </w:pPr>
    </w:p>
    <w:p>
      <w:pPr>
        <w:tabs>
          <w:tab w:val="left" w:pos="-1080"/>
          <w:tab w:val="left" w:pos="180"/>
          <w:tab w:val="left" w:pos="1080"/>
        </w:tabs>
        <w:spacing w:line="360" w:lineRule="auto"/>
        <w:rPr>
          <w:rFonts w:ascii="宋体" w:hAnsi="宋体" w:cs="宋体"/>
          <w:b/>
          <w:color w:val="auto"/>
          <w:sz w:val="24"/>
          <w:szCs w:val="24"/>
          <w:highlight w:val="none"/>
        </w:rPr>
      </w:pPr>
    </w:p>
    <w:p>
      <w:pPr>
        <w:tabs>
          <w:tab w:val="left" w:pos="-1080"/>
          <w:tab w:val="left" w:pos="180"/>
          <w:tab w:val="left" w:pos="1080"/>
        </w:tabs>
        <w:spacing w:line="360" w:lineRule="auto"/>
        <w:rPr>
          <w:rFonts w:ascii="宋体" w:hAnsi="宋体" w:cs="宋体"/>
          <w:b/>
          <w:color w:val="auto"/>
          <w:sz w:val="24"/>
          <w:szCs w:val="24"/>
          <w:highlight w:val="none"/>
        </w:rPr>
      </w:pPr>
    </w:p>
    <w:p>
      <w:pPr>
        <w:tabs>
          <w:tab w:val="left" w:pos="-1080"/>
          <w:tab w:val="left" w:pos="180"/>
          <w:tab w:val="left" w:pos="1080"/>
        </w:tabs>
        <w:spacing w:line="360" w:lineRule="auto"/>
        <w:rPr>
          <w:rFonts w:ascii="宋体" w:hAnsi="宋体" w:cs="宋体"/>
          <w:b/>
          <w:color w:val="auto"/>
          <w:sz w:val="24"/>
          <w:szCs w:val="24"/>
          <w:highlight w:val="none"/>
        </w:rPr>
      </w:pPr>
    </w:p>
    <w:p>
      <w:pPr>
        <w:spacing w:line="360" w:lineRule="auto"/>
        <w:rPr>
          <w:rFonts w:ascii="宋体" w:hAnsi="宋体" w:cs="宋体"/>
          <w:b/>
          <w:bCs/>
          <w:color w:val="auto"/>
          <w:sz w:val="24"/>
          <w:szCs w:val="24"/>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p>
    <w:p>
      <w:pPr>
        <w:spacing w:line="360" w:lineRule="auto"/>
        <w:jc w:val="center"/>
        <w:rPr>
          <w:rFonts w:ascii="宋体" w:hAnsi="宋体" w:cs="宋体"/>
          <w:b/>
          <w:bCs/>
          <w:color w:val="auto"/>
          <w:sz w:val="32"/>
          <w:szCs w:val="32"/>
          <w:highlight w:val="none"/>
          <w:u w:val="single"/>
        </w:rPr>
      </w:pPr>
      <w:r>
        <w:rPr>
          <w:rFonts w:hint="eastAsia" w:ascii="宋体" w:hAnsi="宋体" w:cs="宋体"/>
          <w:b/>
          <w:bCs/>
          <w:color w:val="auto"/>
          <w:sz w:val="32"/>
          <w:szCs w:val="32"/>
          <w:highlight w:val="none"/>
          <w:u w:val="single"/>
        </w:rPr>
        <w:t>投标人须知前附表2:资格性、符合性检查表</w:t>
      </w:r>
    </w:p>
    <w:p>
      <w:pPr>
        <w:spacing w:line="360" w:lineRule="auto"/>
        <w:ind w:firstLine="527"/>
        <w:rPr>
          <w:rFonts w:ascii="宋体" w:hAnsi="宋体" w:cs="宋体"/>
          <w:color w:val="auto"/>
          <w:sz w:val="24"/>
          <w:szCs w:val="24"/>
          <w:highlight w:val="none"/>
        </w:rPr>
      </w:pPr>
      <w:r>
        <w:rPr>
          <w:rFonts w:hint="eastAsia" w:ascii="宋体" w:hAnsi="宋体" w:cs="宋体"/>
          <w:color w:val="auto"/>
          <w:sz w:val="24"/>
          <w:szCs w:val="24"/>
          <w:highlight w:val="none"/>
        </w:rPr>
        <w:t>本须知前附表2集中列示了符合性检查的所有条款，其内容是评标委员会在评审过程中判断投标人的投标是否有效的重要依据。本须知前附表</w:t>
      </w:r>
      <w:r>
        <w:rPr>
          <w:rFonts w:ascii="宋体" w:hAnsi="宋体" w:cs="宋体"/>
          <w:color w:val="auto"/>
          <w:sz w:val="24"/>
          <w:szCs w:val="24"/>
          <w:highlight w:val="none"/>
        </w:rPr>
        <w:t>2</w:t>
      </w:r>
      <w:r>
        <w:rPr>
          <w:rFonts w:hint="eastAsia" w:ascii="宋体" w:hAnsi="宋体" w:cs="宋体"/>
          <w:color w:val="auto"/>
          <w:sz w:val="24"/>
          <w:szCs w:val="24"/>
          <w:highlight w:val="none"/>
        </w:rPr>
        <w:t>的条款号是与</w:t>
      </w:r>
      <w:r>
        <w:rPr>
          <w:rFonts w:ascii="宋体" w:hAnsi="宋体" w:cs="宋体"/>
          <w:color w:val="auto"/>
          <w:sz w:val="24"/>
          <w:szCs w:val="24"/>
          <w:highlight w:val="none"/>
        </w:rPr>
        <w:t>固定部分第二章</w:t>
      </w:r>
      <w:r>
        <w:rPr>
          <w:rFonts w:hint="eastAsia" w:ascii="宋体" w:hAnsi="宋体" w:cs="宋体"/>
          <w:color w:val="auto"/>
          <w:sz w:val="24"/>
          <w:szCs w:val="24"/>
          <w:highlight w:val="none"/>
        </w:rPr>
        <w:t xml:space="preserve">《投标人须知》中条款的项号相对应的。如有矛盾，应以本须知前附表为准。 </w:t>
      </w:r>
    </w:p>
    <w:tbl>
      <w:tblPr>
        <w:tblStyle w:val="12"/>
        <w:tblW w:w="8739" w:type="dxa"/>
        <w:tblInd w:w="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6"/>
        <w:gridCol w:w="696"/>
        <w:gridCol w:w="1422"/>
        <w:gridCol w:w="59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39" w:type="dxa"/>
            <w:gridSpan w:val="4"/>
          </w:tcPr>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资格性要求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项</w:t>
            </w:r>
          </w:p>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号</w:t>
            </w:r>
          </w:p>
        </w:tc>
        <w:tc>
          <w:tcPr>
            <w:tcW w:w="696" w:type="dxa"/>
            <w:tcBorders>
              <w:bottom w:val="single" w:color="auto" w:sz="4" w:space="0"/>
            </w:tcBorders>
            <w:vAlign w:val="center"/>
          </w:tcPr>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章</w:t>
            </w:r>
          </w:p>
        </w:tc>
        <w:tc>
          <w:tcPr>
            <w:tcW w:w="1422" w:type="dxa"/>
            <w:tcBorders>
              <w:bottom w:val="single" w:color="auto" w:sz="4" w:space="0"/>
            </w:tcBorders>
            <w:vAlign w:val="center"/>
          </w:tcPr>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条款号</w:t>
            </w:r>
          </w:p>
        </w:tc>
        <w:tc>
          <w:tcPr>
            <w:tcW w:w="5925" w:type="dxa"/>
            <w:tcBorders>
              <w:bottom w:val="single" w:color="auto" w:sz="4" w:space="0"/>
            </w:tcBorders>
            <w:vAlign w:val="center"/>
          </w:tcPr>
          <w:p>
            <w:pPr>
              <w:tabs>
                <w:tab w:val="left" w:pos="2848"/>
              </w:tabs>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具体内容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合格的投标人</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具体内容详见第二章第3条“合格的投标人”。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2</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3.1</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3.1凡有能力提供本招标文件所述货物及服务的，具备《中华人民共和国政府采购法》第二十二条第一款规定的条件且符合本招标文件规定资格要求的境内供货商或制造商均可能成为合格的投标人。</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投标人应具备《中华人民共和国政府采购法》第二十二条第一款规定的条件，并提供以下材料：</w:t>
            </w:r>
          </w:p>
          <w:p>
            <w:pPr>
              <w:spacing w:line="360" w:lineRule="auto"/>
              <w:ind w:firstLine="319" w:firstLineChars="133"/>
              <w:rPr>
                <w:rFonts w:ascii="宋体" w:hAnsi="宋体" w:cs="宋体"/>
                <w:color w:val="auto"/>
                <w:sz w:val="24"/>
                <w:szCs w:val="24"/>
                <w:highlight w:val="none"/>
              </w:rPr>
            </w:pPr>
            <w:r>
              <w:rPr>
                <w:rFonts w:hint="eastAsia" w:ascii="宋体" w:hAnsi="宋体" w:cs="宋体"/>
                <w:color w:val="auto"/>
                <w:sz w:val="24"/>
                <w:szCs w:val="24"/>
                <w:highlight w:val="none"/>
              </w:rPr>
              <w:t>（1）法人或者其他组织的营业执照等证明文件，自然人的身份证明；</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投标人是法人或者其他组织的应提供营业执照等证明文件，投标人是自然人的应提供有效的自然人身份证明。</w:t>
            </w:r>
          </w:p>
          <w:p>
            <w:pPr>
              <w:spacing w:line="360" w:lineRule="auto"/>
              <w:ind w:firstLine="360" w:firstLineChars="150"/>
              <w:rPr>
                <w:rFonts w:ascii="宋体" w:hAnsi="宋体" w:cs="宋体"/>
                <w:color w:val="auto"/>
                <w:sz w:val="24"/>
                <w:szCs w:val="24"/>
                <w:highlight w:val="none"/>
              </w:rPr>
            </w:pPr>
            <w:r>
              <w:rPr>
                <w:rFonts w:hint="eastAsia" w:ascii="宋体" w:hAnsi="宋体" w:cs="宋体"/>
                <w:color w:val="auto"/>
                <w:sz w:val="24"/>
                <w:szCs w:val="24"/>
                <w:highlight w:val="none"/>
              </w:rPr>
              <w:t>（2）</w:t>
            </w:r>
            <w:r>
              <w:rPr>
                <w:rFonts w:hint="eastAsia" w:ascii="宋体" w:hAnsi="宋体" w:cs="宋体"/>
                <w:color w:val="auto"/>
                <w:kern w:val="0"/>
                <w:sz w:val="24"/>
                <w:szCs w:val="24"/>
                <w:highlight w:val="none"/>
              </w:rPr>
              <w:t>经审计的上一年度的年度财务报告（</w:t>
            </w:r>
            <w:r>
              <w:rPr>
                <w:rFonts w:hint="eastAsia" w:ascii="宋体" w:hAnsi="宋体" w:cs="宋体"/>
                <w:color w:val="auto"/>
                <w:sz w:val="24"/>
                <w:szCs w:val="24"/>
                <w:highlight w:val="none"/>
              </w:rPr>
              <w:t>投标人上一年度的财务报告尚未完成编制且投标截止时间在每年1月1日至4月30日的，可提供上上年度经审计的年度财务报告。</w:t>
            </w:r>
            <w:r>
              <w:rPr>
                <w:rFonts w:hint="eastAsia" w:ascii="宋体" w:hAnsi="宋体" w:cs="宋体"/>
                <w:color w:val="auto"/>
                <w:kern w:val="0"/>
                <w:sz w:val="24"/>
                <w:szCs w:val="24"/>
                <w:highlight w:val="none"/>
              </w:rPr>
              <w:t>）</w:t>
            </w:r>
            <w:r>
              <w:rPr>
                <w:rFonts w:hint="eastAsia" w:ascii="宋体" w:hAnsi="宋体" w:cs="宋体"/>
                <w:color w:val="auto"/>
                <w:sz w:val="24"/>
                <w:szCs w:val="24"/>
                <w:highlight w:val="none"/>
              </w:rPr>
              <w:t>及依法缴纳税收和社会保障资金的相关材料；若投标人因新注册成立等原因无法提供上述证明材料的，应在投标文件中提交如实的情况说明；预算金额500万元以下的政府采购项目基本资格条件采取“信用承诺制”，投标人提供资格承诺函(格式见附件)的即可参加采购活动，在投标文件中无需再提供财务状况报告、依法缴纳税收和社会保障资金的相关证明材料。投标人应当遵循诚实信用原则，不得作虚假承诺，投标人承诺不实的，属于提供虚假材料谋取中标、成交，应依法承担相应的法律责任。</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财务状况报告指“四表一注”，即资产负债表、利润表、现金流量表、所有者权益变动表及其附注，或基本开户银行出具的资信证明。</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依法缴纳税收和社会保障资金的证明材料主要是投标人税务登记证、缴纳增值税或营业税或企业所得税的凭据，缴纳社会保险的凭据（专用收据或社会保险缴纳清单）。依法免税或不需要缴纳社会保障资金的投标人，应提供相应文件证 明其依法免税或不需要缴纳社会保障资金。根据《财政部关于印发&lt;小企业会计准则&gt;的通知》（财会〔2011〕17号）的规定，小企业的财务报表包括资产负债表、利润表、现金流量表及其附注，可以不含所有者权益变动表。</w:t>
            </w:r>
          </w:p>
          <w:p>
            <w:pPr>
              <w:spacing w:line="360" w:lineRule="auto"/>
              <w:ind w:firstLine="200"/>
              <w:rPr>
                <w:rFonts w:ascii="宋体" w:hAnsi="宋体" w:cs="宋体"/>
                <w:color w:val="auto"/>
                <w:sz w:val="24"/>
                <w:szCs w:val="24"/>
                <w:highlight w:val="none"/>
              </w:rPr>
            </w:pPr>
            <w:r>
              <w:rPr>
                <w:rFonts w:hint="eastAsia" w:ascii="宋体" w:hAnsi="宋体" w:cs="宋体"/>
                <w:color w:val="auto"/>
                <w:sz w:val="24"/>
                <w:szCs w:val="24"/>
                <w:highlight w:val="none"/>
              </w:rPr>
              <w:t>（3）具备履行合同所必需的设备和专业技术能力的证明材料。</w:t>
            </w:r>
          </w:p>
          <w:p>
            <w:pPr>
              <w:spacing w:line="360" w:lineRule="auto"/>
              <w:ind w:firstLine="200"/>
              <w:rPr>
                <w:rFonts w:ascii="宋体" w:hAnsi="宋体" w:cs="宋体"/>
                <w:color w:val="auto"/>
                <w:sz w:val="24"/>
                <w:szCs w:val="24"/>
                <w:highlight w:val="none"/>
              </w:rPr>
            </w:pPr>
            <w:r>
              <w:rPr>
                <w:rFonts w:hint="eastAsia" w:ascii="宋体" w:hAnsi="宋体" w:cs="宋体"/>
                <w:color w:val="auto"/>
                <w:sz w:val="24"/>
                <w:szCs w:val="24"/>
                <w:highlight w:val="none"/>
              </w:rPr>
              <w:t>（4）参加政府采购活动前3年内在经营活动中没有重大违法记录的书面声明；投标人自行对其有无行贿犯罪情形进行书面说明或书面承诺。</w:t>
            </w:r>
          </w:p>
          <w:p>
            <w:pPr>
              <w:spacing w:line="360" w:lineRule="auto"/>
              <w:ind w:firstLine="240" w:firstLineChars="100"/>
              <w:rPr>
                <w:rFonts w:ascii="宋体" w:hAnsi="宋体" w:cs="宋体"/>
                <w:color w:val="auto"/>
                <w:sz w:val="24"/>
                <w:szCs w:val="24"/>
                <w:highlight w:val="none"/>
              </w:rPr>
            </w:pPr>
            <w:r>
              <w:rPr>
                <w:rFonts w:hint="eastAsia" w:ascii="宋体" w:hAnsi="宋体" w:cs="宋体"/>
                <w:color w:val="auto"/>
                <w:sz w:val="24"/>
                <w:szCs w:val="24"/>
                <w:highlight w:val="none"/>
              </w:rPr>
              <w:t>（5）具备法律、行政法规规定的其他条件的证明材料。</w:t>
            </w:r>
          </w:p>
          <w:p>
            <w:pPr>
              <w:spacing w:line="360" w:lineRule="auto"/>
              <w:ind w:firstLine="240" w:firstLineChars="100"/>
              <w:rPr>
                <w:rFonts w:ascii="宋体" w:hAnsi="宋体" w:cs="宋体"/>
                <w:color w:val="auto"/>
                <w:sz w:val="24"/>
                <w:szCs w:val="24"/>
                <w:highlight w:val="none"/>
              </w:rPr>
            </w:pPr>
            <w:r>
              <w:rPr>
                <w:rFonts w:hint="eastAsia" w:ascii="宋体" w:hAnsi="宋体" w:cs="宋体"/>
                <w:color w:val="auto"/>
                <w:sz w:val="24"/>
                <w:szCs w:val="24"/>
                <w:highlight w:val="none"/>
              </w:rPr>
              <w:t>（6）投标人已提供加载有统一社会信用代码营业执照的，视为已提供税务登记证和组织机构代码证。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3.5</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3.5如本项目接受联合体投标，则两个或者两个以上投标人可以组成一个投标联合体，以一个投标人的身份投标。</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以联合体形式参加投标的，联合体各方均应当符合合格的投标人相关规定。采购单位根据采购项目的特殊要求规定投标人特定条件的，联合体各方中至少应当有一方符合采购单位规定的特定条件，如联合体各方中没有一方符合特定条件的，该联合体投标无效。</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联合体各方之间应当签订共同投标协议，明确约定联合体各方承担的工作和相应的责任，并将共同投标协议连同投标文件一并提交招标代理机构。联合体各方签订共同投标协议后，不得再以自己名义单独在同一项目中投标，也不得组成新的联合体参加同一项目投标。</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（3）项目如涉及资质要求，该部分内容应由联合体中具有该资质要求的投标人承担。联合体协议及签订的采购合同应包含此项内容。</w:t>
            </w:r>
          </w:p>
          <w:p>
            <w:pPr>
              <w:spacing w:line="360" w:lineRule="auto"/>
              <w:ind w:firstLine="360" w:firstLineChars="150"/>
              <w:rPr>
                <w:rFonts w:ascii="宋体" w:hAnsi="宋体" w:cs="宋体"/>
                <w:color w:val="auto"/>
                <w:sz w:val="24"/>
                <w:szCs w:val="24"/>
                <w:highlight w:val="none"/>
              </w:rPr>
            </w:pPr>
            <w:r>
              <w:rPr>
                <w:rFonts w:hint="eastAsia" w:ascii="宋体" w:hAnsi="宋体" w:cs="宋体"/>
                <w:color w:val="auto"/>
                <w:sz w:val="24"/>
                <w:szCs w:val="24"/>
                <w:highlight w:val="none"/>
              </w:rPr>
              <w:t>（4）联合体中有同类资质的投标人按照联合体分工承担相同工作的，应当按照资质等级较低的投标人确定资质等级。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4</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3.6</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2" w:firstLineChars="200"/>
              <w:rPr>
                <w:rFonts w:ascii="宋体" w:hAnsi="宋体" w:cs="宋体"/>
                <w:color w:val="auto"/>
                <w:sz w:val="24"/>
                <w:szCs w:val="24"/>
                <w:highlight w:val="none"/>
              </w:rPr>
            </w:pPr>
            <w:r>
              <w:rPr>
                <w:rFonts w:hint="eastAsia" w:ascii="宋体" w:hAnsi="宋体" w:cs="宋体"/>
                <w:b/>
                <w:color w:val="auto"/>
                <w:sz w:val="24"/>
                <w:szCs w:val="24"/>
                <w:highlight w:val="none"/>
              </w:rPr>
              <w:t>3.6属于联合体投标的，除招标文件其他章节或本须知其他条款另有规定或要求外，投标文件中仅加盖联合体一方公章的相关文件，对联合体各方均具有约束力。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5</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3.7</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3.7投标代理人在同一个项目中只能接受一个投标人的委托参加投标。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6</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5925" w:type="dxa"/>
            <w:tcBorders>
              <w:top w:val="single" w:color="auto" w:sz="4" w:space="0"/>
              <w:left w:val="single" w:color="auto" w:sz="4" w:space="0"/>
              <w:bottom w:val="single" w:color="auto" w:sz="4" w:space="0"/>
              <w:right w:val="single" w:color="auto" w:sz="4" w:space="0"/>
            </w:tcBorders>
            <w:vAlign w:val="center"/>
          </w:tcPr>
          <w:p>
            <w:pPr>
              <w:tabs>
                <w:tab w:val="left" w:pos="630"/>
              </w:tabs>
              <w:spacing w:line="360" w:lineRule="auto"/>
              <w:ind w:firstLine="560"/>
              <w:rPr>
                <w:rFonts w:ascii="宋体" w:hAnsi="宋体" w:cs="宋体"/>
                <w:color w:val="auto"/>
                <w:sz w:val="24"/>
                <w:szCs w:val="24"/>
                <w:highlight w:val="none"/>
              </w:rPr>
            </w:pPr>
            <w:r>
              <w:rPr>
                <w:rFonts w:hint="eastAsia" w:ascii="宋体" w:hAnsi="宋体" w:cs="宋体"/>
                <w:color w:val="auto"/>
                <w:sz w:val="24"/>
                <w:szCs w:val="24"/>
                <w:highlight w:val="none"/>
              </w:rPr>
              <w:t>信用记录按照下列规定执行：信用记录的查询及审查：①由资格审查小组评审当日通过“信用中国”网站（www.creditchina.gov.cn）、中国政府采购网（www.ccgp.gov.cn）、“信用厦门”网站（credit.xm.gov.cn）查询并打印投标人信用记录（以下简称：“资格审查小组的查询结果”）。②查询结果存在投标人（包括联合体各方，联合体成员存在不良记录的，视同联合体存在不良信用记录，认定联合体资格审查不合格）应被拒绝参与政府采购活动相关信息的，其资格审查不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7</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5925" w:type="dxa"/>
            <w:tcBorders>
              <w:top w:val="single" w:color="auto" w:sz="4" w:space="0"/>
              <w:left w:val="single" w:color="auto" w:sz="4" w:space="0"/>
              <w:bottom w:val="single" w:color="auto" w:sz="4" w:space="0"/>
              <w:right w:val="single" w:color="auto" w:sz="4" w:space="0"/>
            </w:tcBorders>
            <w:vAlign w:val="center"/>
          </w:tcPr>
          <w:p>
            <w:pPr>
              <w:tabs>
                <w:tab w:val="left" w:pos="630"/>
              </w:tabs>
              <w:spacing w:line="360" w:lineRule="auto"/>
              <w:ind w:firstLine="560"/>
              <w:rPr>
                <w:rFonts w:hint="eastAsia" w:ascii="宋体" w:hAnsi="宋体" w:cs="宋体"/>
                <w:color w:val="auto"/>
                <w:sz w:val="24"/>
                <w:szCs w:val="24"/>
                <w:highlight w:val="none"/>
              </w:rPr>
            </w:pPr>
            <w:r>
              <w:rPr>
                <w:rFonts w:hint="eastAsia" w:ascii="宋体" w:hAnsi="宋体" w:cs="宋体"/>
                <w:b/>
                <w:color w:val="auto"/>
                <w:sz w:val="24"/>
                <w:szCs w:val="24"/>
                <w:highlight w:val="none"/>
                <w:lang w:val="en-US" w:eastAsia="zh-CN"/>
              </w:rPr>
              <w:t>*1.1</w:t>
            </w:r>
            <w:r>
              <w:rPr>
                <w:rFonts w:hint="eastAsia" w:ascii="宋体" w:hAnsi="宋体" w:cs="宋体"/>
                <w:color w:val="auto"/>
                <w:sz w:val="24"/>
                <w:szCs w:val="24"/>
                <w:highlight w:val="none"/>
              </w:rPr>
              <w:t>本项目专门面向中小企业采购，</w:t>
            </w:r>
            <w:r>
              <w:rPr>
                <w:rFonts w:hint="eastAsia" w:ascii="宋体" w:hAnsi="宋体" w:cs="宋体"/>
                <w:color w:val="auto"/>
                <w:sz w:val="24"/>
                <w:szCs w:val="24"/>
                <w:highlight w:val="none"/>
                <w:lang w:val="en-US" w:eastAsia="zh-CN"/>
              </w:rPr>
              <w:t>投标人</w:t>
            </w:r>
            <w:r>
              <w:rPr>
                <w:rFonts w:hint="eastAsia" w:ascii="宋体" w:hAnsi="宋体" w:cs="宋体"/>
                <w:color w:val="auto"/>
                <w:sz w:val="24"/>
                <w:szCs w:val="24"/>
                <w:highlight w:val="none"/>
              </w:rPr>
              <w:t>所投所有采购标的均须为小微企业制造，否则作无效投标处理，投标人需提供中小企业声明函，同时本</w:t>
            </w:r>
            <w:r>
              <w:rPr>
                <w:rFonts w:hint="eastAsia" w:ascii="宋体" w:hAnsi="宋体" w:cs="宋体"/>
                <w:color w:val="auto"/>
                <w:sz w:val="24"/>
                <w:szCs w:val="24"/>
                <w:highlight w:val="none"/>
                <w:lang w:val="en-US" w:eastAsia="zh-CN"/>
              </w:rPr>
              <w:t>项目</w:t>
            </w:r>
            <w:r>
              <w:rPr>
                <w:rFonts w:hint="eastAsia" w:ascii="宋体" w:hAnsi="宋体" w:cs="宋体"/>
                <w:color w:val="auto"/>
                <w:sz w:val="24"/>
                <w:szCs w:val="24"/>
                <w:highlight w:val="none"/>
              </w:rPr>
              <w:t>不再执行</w:t>
            </w:r>
            <w:r>
              <w:rPr>
                <w:rFonts w:hint="eastAsia" w:ascii="宋体" w:hAnsi="宋体" w:cs="宋体"/>
                <w:color w:val="auto"/>
                <w:sz w:val="24"/>
                <w:szCs w:val="24"/>
                <w:highlight w:val="none"/>
                <w:lang w:val="en-US" w:eastAsia="zh-CN"/>
              </w:rPr>
              <w:t>小微企业</w:t>
            </w:r>
            <w:r>
              <w:rPr>
                <w:rFonts w:hint="eastAsia" w:ascii="宋体" w:hAnsi="宋体" w:cs="宋体"/>
                <w:color w:val="auto"/>
                <w:sz w:val="24"/>
                <w:szCs w:val="24"/>
                <w:highlight w:val="none"/>
              </w:rPr>
              <w:t>价格评审优惠的扶持政策。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lang w:val="en-US" w:eastAsia="zh-CN"/>
              </w:rPr>
              <w:t>8</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5925" w:type="dxa"/>
            <w:tcBorders>
              <w:top w:val="single" w:color="auto" w:sz="4" w:space="0"/>
              <w:left w:val="single" w:color="auto" w:sz="4" w:space="0"/>
              <w:bottom w:val="single" w:color="auto" w:sz="4" w:space="0"/>
              <w:right w:val="single" w:color="auto" w:sz="4" w:space="0"/>
            </w:tcBorders>
            <w:vAlign w:val="center"/>
          </w:tcPr>
          <w:p>
            <w:pPr>
              <w:pStyle w:val="11"/>
              <w:shd w:val="clear" w:color="auto" w:fill="FFFFFF"/>
              <w:spacing w:line="360" w:lineRule="auto"/>
              <w:ind w:right="-63" w:rightChars="-30" w:firstLine="482" w:firstLineChars="200"/>
              <w:rPr>
                <w:rFonts w:ascii="宋体" w:hAnsi="宋体"/>
                <w:b/>
                <w:color w:val="auto"/>
                <w:sz w:val="24"/>
                <w:szCs w:val="24"/>
                <w:highlight w:val="none"/>
              </w:rPr>
            </w:pPr>
            <w:r>
              <w:rPr>
                <w:rFonts w:hint="eastAsia" w:ascii="宋体" w:hAnsi="宋体"/>
                <w:b/>
                <w:color w:val="auto"/>
                <w:sz w:val="24"/>
                <w:szCs w:val="24"/>
                <w:highlight w:val="none"/>
              </w:rPr>
              <w:t>三、投标人资格要求</w:t>
            </w:r>
          </w:p>
          <w:p>
            <w:pPr>
              <w:pStyle w:val="11"/>
              <w:shd w:val="clear" w:color="auto" w:fill="FFFFFF"/>
              <w:spacing w:line="360" w:lineRule="auto"/>
              <w:ind w:firstLine="482" w:firstLineChars="200"/>
              <w:rPr>
                <w:rFonts w:hint="eastAsia" w:ascii="宋体" w:hAnsi="宋体" w:eastAsia="宋体" w:cs="宋体"/>
                <w:color w:val="auto"/>
                <w:sz w:val="24"/>
                <w:szCs w:val="24"/>
                <w:highlight w:val="none"/>
                <w:lang w:val="en-US" w:eastAsia="zh-CN"/>
              </w:rPr>
            </w:pPr>
            <w:r>
              <w:rPr>
                <w:rFonts w:hint="eastAsia"/>
                <w:b/>
                <w:color w:val="auto"/>
                <w:highlight w:val="none"/>
              </w:rPr>
              <w:t>*1.投标人应提供工商营业执照（副本）的复印件。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lang w:val="en-US" w:eastAsia="zh-CN"/>
              </w:rPr>
              <w:t>9</w:t>
            </w:r>
          </w:p>
        </w:tc>
        <w:tc>
          <w:tcPr>
            <w:tcW w:w="696" w:type="dxa"/>
            <w:tcBorders>
              <w:top w:val="single" w:color="auto" w:sz="4" w:space="0"/>
              <w:left w:val="single" w:color="auto" w:sz="4" w:space="0"/>
              <w:bottom w:val="single" w:color="auto" w:sz="4" w:space="0"/>
              <w:right w:val="single" w:color="auto" w:sz="4" w:space="0"/>
            </w:tcBorders>
          </w:tcPr>
          <w:p>
            <w:pPr>
              <w:spacing w:line="360" w:lineRule="auto"/>
              <w:jc w:val="center"/>
              <w:rPr>
                <w:rFonts w:ascii="宋体" w:hAnsi="宋体" w:cs="宋体"/>
                <w:color w:val="auto"/>
                <w:sz w:val="24"/>
                <w:szCs w:val="24"/>
                <w:highlight w:val="none"/>
              </w:rPr>
            </w:pPr>
          </w:p>
        </w:tc>
        <w:tc>
          <w:tcPr>
            <w:tcW w:w="1422" w:type="dxa"/>
            <w:tcBorders>
              <w:top w:val="single" w:color="auto" w:sz="4" w:space="0"/>
              <w:left w:val="single" w:color="auto" w:sz="4" w:space="0"/>
              <w:bottom w:val="single" w:color="auto" w:sz="4" w:space="0"/>
              <w:right w:val="single" w:color="auto" w:sz="4" w:space="0"/>
            </w:tcBorders>
          </w:tcPr>
          <w:p>
            <w:pPr>
              <w:spacing w:line="360" w:lineRule="auto"/>
              <w:jc w:val="center"/>
              <w:rPr>
                <w:rFonts w:ascii="宋体" w:hAnsi="宋体" w:cs="宋体"/>
                <w:color w:val="auto"/>
                <w:sz w:val="24"/>
                <w:szCs w:val="24"/>
                <w:highlight w:val="none"/>
              </w:rPr>
            </w:pPr>
          </w:p>
        </w:tc>
        <w:tc>
          <w:tcPr>
            <w:tcW w:w="5925" w:type="dxa"/>
            <w:tcBorders>
              <w:top w:val="single" w:color="auto" w:sz="4" w:space="0"/>
              <w:left w:val="single" w:color="auto" w:sz="4" w:space="0"/>
              <w:bottom w:val="single" w:color="auto" w:sz="4" w:space="0"/>
              <w:right w:val="single" w:color="auto" w:sz="4" w:space="0"/>
            </w:tcBorders>
          </w:tcPr>
          <w:p>
            <w:pPr>
              <w:spacing w:line="360" w:lineRule="auto"/>
              <w:ind w:firstLine="422" w:firstLineChars="200"/>
              <w:rPr>
                <w:rFonts w:ascii="宋体" w:hAnsi="宋体" w:cs="宋体"/>
                <w:color w:val="auto"/>
                <w:sz w:val="24"/>
                <w:szCs w:val="24"/>
                <w:highlight w:val="none"/>
              </w:rPr>
            </w:pPr>
            <w:r>
              <w:rPr>
                <w:rFonts w:hint="eastAsia"/>
                <w:b/>
                <w:color w:val="auto"/>
                <w:highlight w:val="none"/>
              </w:rPr>
              <w:t>*2.投标人全权代表若不是单位负责人，应提供单位授权书原件，并提供被授权代表身份证复印件。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39" w:type="dxa"/>
            <w:gridSpan w:val="4"/>
            <w:tcBorders>
              <w:top w:val="single" w:color="auto" w:sz="4" w:space="0"/>
              <w:left w:val="single" w:color="auto" w:sz="4" w:space="0"/>
              <w:bottom w:val="single" w:color="auto" w:sz="4" w:space="0"/>
              <w:right w:val="single" w:color="auto" w:sz="4" w:space="0"/>
            </w:tcBorders>
          </w:tcPr>
          <w:p>
            <w:pPr>
              <w:spacing w:line="360" w:lineRule="auto"/>
              <w:ind w:firstLine="3373" w:firstLineChars="1400"/>
              <w:rPr>
                <w:rFonts w:ascii="宋体" w:hAnsi="宋体" w:cs="宋体"/>
                <w:color w:val="auto"/>
                <w:sz w:val="24"/>
                <w:szCs w:val="24"/>
                <w:highlight w:val="none"/>
              </w:rPr>
            </w:pPr>
            <w:r>
              <w:rPr>
                <w:rFonts w:hint="eastAsia" w:ascii="宋体" w:hAnsi="宋体" w:cs="宋体"/>
                <w:b/>
                <w:color w:val="auto"/>
                <w:sz w:val="24"/>
                <w:szCs w:val="24"/>
                <w:highlight w:val="none"/>
              </w:rPr>
              <w:t>符合性要求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项号</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章</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条款号</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具体内容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一</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5</w:t>
            </w:r>
          </w:p>
        </w:tc>
        <w:tc>
          <w:tcPr>
            <w:tcW w:w="5925"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投标人的投标文件未按规定的投标截止时间之前提交的，其投标将被拒绝。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2</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3.2</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3.2投标人应遵守并符合中国的有关法律、法规和规章的规定，同时其投标货物或服务也应符合中国的有关法律、法规和规章的规定。认可本须知中的规定。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3.3</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3.3一个投标人只能提交一个投标文件。如果投标人之间存在下列互为关联关系的情形之一的，不得同时参加本项目同一合同包投标：</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(1)法定代表人、单位负责人为同一人或夫妻关系的不同投标人；</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(2)存在直接控股、管理关系的不同投标人；</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(3)均为同一家母公司直接或间接持股50％及以上的被投资公司。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4</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3.4</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3.4投标人不得与本次招标项下设计、编制技术规格和其他文件的公司或提供咨询服务的公司包括其附属机构有关联关系，关联关系指：(1) 法定代表人、单位负责人为同一人或夫妻关系的不同公司；(2) 存在直接控股、管理关系的不同公司；(3) 均为同一家母公司直接或间接持股50％及以上的被投资公司。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5</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3.8</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3.8投标人存在下列情形之一的，将被认定为串通投标行为并作无效投标处理：</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（1）投标人之间协商投标报价等投标文件的实质性内容；</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（2）投标人之间约定中标供应商；</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（3）投标人之间约定部分投标人放弃投标或者中标；</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（4）属于同一集团、协会、商会等组织成员的投标人按照该组织要求协同投标；</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（5）投标人之间为谋取中标或者排斥特定投标人而采取的其他联合行动；</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（6）不同投标人的投标文件由同一单位或者个人编制；</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（7）不同投标人委托同一单位或者个人办理投标事宜；</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（8）不同投标人的投标文件载明的项目管理成员或者联系人员为同一人；</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（9）不同投标人的投标文件异常一致或者投标报价呈规律性差异；</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（10）不同投标人的投标文件相互混装；</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（11）不同投标人的投标保证金从同一单位或者个人的账户转出。</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（12）不同投标人的投标文件错、漏之处一致或雷同，且不能合理解释的；</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（13）不同的投标人的法定代表人、委托代理人等由同一个单位缴纳社会保险的；</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（14）由同一人或分别由几个有</w:t>
            </w:r>
            <w:r>
              <w:rPr>
                <w:rFonts w:hint="eastAsia" w:ascii="宋体" w:hAnsi="宋体" w:cs="宋体"/>
                <w:color w:val="auto"/>
                <w:sz w:val="24"/>
                <w:szCs w:val="24"/>
                <w:highlight w:val="none"/>
              </w:rPr>
              <w:t>利害关系的人</w:t>
            </w:r>
            <w:r>
              <w:rPr>
                <w:rFonts w:hint="eastAsia" w:ascii="宋体" w:hAnsi="宋体" w:cs="宋体"/>
                <w:color w:val="auto"/>
                <w:sz w:val="24"/>
                <w:szCs w:val="24"/>
                <w:highlight w:val="none"/>
              </w:rPr>
              <w:t>携带两个以上（含两个）投标人的企业资料参与资格审查、领取招标资料，或代表两个以上（含两个）投标人参加招标答疑会、交纳或退还投标保证金、开标的；</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（15）有关法律、法规或规章规定的其他串通投标行为。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6</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8.1</w:t>
            </w:r>
          </w:p>
        </w:tc>
        <w:tc>
          <w:tcPr>
            <w:tcW w:w="5925" w:type="dxa"/>
            <w:tcBorders>
              <w:top w:val="single" w:color="auto" w:sz="4" w:space="0"/>
              <w:left w:val="single" w:color="auto" w:sz="4" w:space="0"/>
              <w:bottom w:val="single" w:color="auto" w:sz="4" w:space="0"/>
              <w:right w:val="single" w:color="auto" w:sz="4" w:space="0"/>
            </w:tcBorders>
          </w:tcPr>
          <w:p>
            <w:pPr>
              <w:spacing w:line="360" w:lineRule="auto"/>
              <w:ind w:firstLine="482" w:firstLineChars="200"/>
              <w:rPr>
                <w:rFonts w:ascii="宋体" w:hAnsi="宋体" w:cs="宋体"/>
                <w:color w:val="auto"/>
                <w:sz w:val="24"/>
                <w:szCs w:val="24"/>
                <w:highlight w:val="none"/>
              </w:rPr>
            </w:pPr>
            <w:r>
              <w:rPr>
                <w:rFonts w:hint="eastAsia" w:ascii="宋体" w:hAnsi="宋体" w:cs="宋体"/>
                <w:b/>
                <w:color w:val="auto"/>
                <w:sz w:val="24"/>
                <w:szCs w:val="24"/>
                <w:highlight w:val="none"/>
              </w:rPr>
              <w:t>8.1投标人应仔细阅读招标文件的所有内容，按照招标文件的要求提交投标文件。投标文件应对招标文件的要求作出实质性响应，并保证所提供的全部资料的真实性，否则其投标将被拒绝。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7</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8.2</w:t>
            </w:r>
          </w:p>
        </w:tc>
        <w:tc>
          <w:tcPr>
            <w:tcW w:w="5925" w:type="dxa"/>
            <w:tcBorders>
              <w:top w:val="single" w:color="auto" w:sz="4" w:space="0"/>
              <w:left w:val="single" w:color="auto" w:sz="4" w:space="0"/>
              <w:bottom w:val="single" w:color="auto" w:sz="4" w:space="0"/>
              <w:right w:val="single" w:color="auto" w:sz="4" w:space="0"/>
            </w:tcBorders>
          </w:tcPr>
          <w:p>
            <w:pPr>
              <w:spacing w:line="360" w:lineRule="auto"/>
              <w:ind w:firstLine="482" w:firstLineChars="200"/>
              <w:rPr>
                <w:rFonts w:ascii="宋体" w:hAnsi="宋体" w:cs="宋体"/>
                <w:b/>
                <w:color w:val="auto"/>
                <w:sz w:val="24"/>
                <w:szCs w:val="24"/>
                <w:highlight w:val="none"/>
              </w:rPr>
            </w:pPr>
            <w:r>
              <w:rPr>
                <w:rFonts w:hint="eastAsia" w:ascii="宋体" w:hAnsi="宋体" w:cs="宋体"/>
                <w:b/>
                <w:color w:val="auto"/>
                <w:sz w:val="24"/>
                <w:szCs w:val="24"/>
                <w:highlight w:val="none"/>
              </w:rPr>
              <w:t>8.2除非有另外的规定，投标人可对招标货物（服务）一览表所列的全部合同包或部分合同包进行投标。招标采购单位不接受有任何可选择性的报价，每一种货物（服务）只能有一个报价，否则其投标将被拒绝。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8</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11.1</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2" w:firstLineChars="200"/>
              <w:rPr>
                <w:rFonts w:ascii="宋体" w:hAnsi="宋体" w:cs="宋体"/>
                <w:b/>
                <w:color w:val="auto"/>
                <w:sz w:val="24"/>
                <w:szCs w:val="24"/>
                <w:highlight w:val="none"/>
              </w:rPr>
            </w:pPr>
            <w:r>
              <w:rPr>
                <w:rFonts w:hint="eastAsia" w:ascii="宋体" w:hAnsi="宋体" w:cs="宋体"/>
                <w:b/>
                <w:color w:val="auto"/>
                <w:sz w:val="24"/>
                <w:szCs w:val="24"/>
                <w:highlight w:val="none"/>
              </w:rPr>
              <w:t>11.1投标文件从投标截止之日开始生效，在</w:t>
            </w:r>
            <w:r>
              <w:rPr>
                <w:rFonts w:hint="eastAsia" w:ascii="宋体" w:hAnsi="宋体" w:cs="宋体"/>
                <w:b/>
                <w:bCs/>
                <w:color w:val="auto"/>
                <w:sz w:val="24"/>
                <w:szCs w:val="24"/>
                <w:highlight w:val="none"/>
              </w:rPr>
              <w:t>投标人须知前附表1</w:t>
            </w:r>
            <w:r>
              <w:rPr>
                <w:rFonts w:hint="eastAsia" w:ascii="宋体" w:hAnsi="宋体" w:cs="宋体"/>
                <w:b/>
                <w:color w:val="auto"/>
                <w:sz w:val="24"/>
                <w:szCs w:val="24"/>
                <w:highlight w:val="none"/>
              </w:rPr>
              <w:t>第3项所规定的期限内保持有效。有效期不足将导致其投标文件被拒绝。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9</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12.5</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2" w:firstLineChars="200"/>
              <w:rPr>
                <w:rFonts w:ascii="宋体" w:hAnsi="宋体" w:cs="宋体"/>
                <w:b/>
                <w:color w:val="auto"/>
                <w:sz w:val="24"/>
                <w:szCs w:val="24"/>
                <w:highlight w:val="none"/>
              </w:rPr>
            </w:pPr>
            <w:r>
              <w:rPr>
                <w:rFonts w:hint="eastAsia" w:ascii="宋体" w:hAnsi="宋体" w:cs="宋体"/>
                <w:b/>
                <w:color w:val="auto"/>
                <w:sz w:val="24"/>
                <w:szCs w:val="24"/>
                <w:highlight w:val="none"/>
              </w:rPr>
              <w:t>12.5未按要求缴交投标保证金的投标，将被视为无效投标。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10</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b/>
                <w:color w:val="auto"/>
                <w:sz w:val="24"/>
                <w:szCs w:val="24"/>
                <w:highlight w:val="none"/>
              </w:rPr>
              <w:t>13.7</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2"/>
              <w:rPr>
                <w:rFonts w:ascii="宋体" w:hAnsi="宋体" w:cs="宋体"/>
                <w:b/>
                <w:color w:val="auto"/>
                <w:sz w:val="24"/>
                <w:szCs w:val="24"/>
                <w:highlight w:val="none"/>
              </w:rPr>
            </w:pPr>
            <w:r>
              <w:rPr>
                <w:rFonts w:hint="eastAsia" w:ascii="宋体" w:hAnsi="宋体" w:cs="宋体"/>
                <w:b/>
                <w:color w:val="auto"/>
                <w:sz w:val="24"/>
                <w:szCs w:val="24"/>
                <w:highlight w:val="none"/>
              </w:rPr>
              <w:t>13.7未按本须知规定的格式填写投标文件、投标文件字迹模糊不清的，其投标将被拒绝。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11</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b/>
                <w:color w:val="auto"/>
                <w:sz w:val="24"/>
                <w:szCs w:val="24"/>
                <w:highlight w:val="none"/>
              </w:rPr>
              <w:t>13.9</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2" w:firstLineChars="200"/>
              <w:rPr>
                <w:rFonts w:ascii="宋体" w:hAnsi="宋体" w:cs="宋体"/>
                <w:b/>
                <w:color w:val="auto"/>
                <w:sz w:val="24"/>
                <w:szCs w:val="24"/>
                <w:highlight w:val="none"/>
              </w:rPr>
            </w:pPr>
            <w:r>
              <w:rPr>
                <w:rFonts w:hint="eastAsia" w:ascii="宋体" w:hAnsi="宋体" w:cs="宋体"/>
                <w:b/>
                <w:color w:val="auto"/>
                <w:sz w:val="24"/>
                <w:szCs w:val="24"/>
                <w:highlight w:val="none"/>
              </w:rPr>
              <w:t>投标人应将上述文件按顺序装订成册、打印页码，并编列投标文件目录、资料清单，由于装订不规范或编排顺序混乱而导致投标文件被误读或漏读，该投标可能被视为无效投标或承担不利的评标结果。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12</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14.1</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0"/>
              <w:rPr>
                <w:rFonts w:ascii="宋体" w:hAnsi="宋体" w:cs="宋体"/>
                <w:b/>
                <w:color w:val="auto"/>
                <w:sz w:val="24"/>
                <w:szCs w:val="24"/>
                <w:highlight w:val="none"/>
              </w:rPr>
            </w:pPr>
            <w:r>
              <w:rPr>
                <w:rFonts w:hint="eastAsia" w:ascii="宋体" w:hAnsi="宋体" w:cs="宋体"/>
                <w:color w:val="auto"/>
                <w:sz w:val="24"/>
                <w:szCs w:val="24"/>
                <w:highlight w:val="none"/>
              </w:rPr>
              <w:t>14.1</w:t>
            </w:r>
            <w:r>
              <w:rPr>
                <w:rFonts w:hint="eastAsia" w:ascii="宋体" w:hAnsi="宋体" w:cs="宋体"/>
                <w:b/>
                <w:color w:val="auto"/>
                <w:sz w:val="24"/>
                <w:szCs w:val="24"/>
                <w:highlight w:val="none"/>
              </w:rPr>
              <w:t>投标文件未密封将导致其投标被拒绝。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13</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b/>
                <w:color w:val="auto"/>
                <w:sz w:val="24"/>
                <w:szCs w:val="24"/>
                <w:highlight w:val="none"/>
              </w:rPr>
              <w:t>14.5</w:t>
            </w:r>
          </w:p>
        </w:tc>
        <w:tc>
          <w:tcPr>
            <w:tcW w:w="5925"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2" w:firstLineChars="200"/>
              <w:rPr>
                <w:rFonts w:ascii="宋体" w:hAnsi="宋体" w:cs="宋体"/>
                <w:b/>
                <w:color w:val="auto"/>
                <w:sz w:val="24"/>
                <w:szCs w:val="24"/>
                <w:highlight w:val="none"/>
              </w:rPr>
            </w:pPr>
            <w:r>
              <w:rPr>
                <w:rFonts w:hint="eastAsia" w:ascii="宋体" w:hAnsi="宋体" w:cs="宋体"/>
                <w:b/>
                <w:color w:val="auto"/>
                <w:sz w:val="24"/>
                <w:szCs w:val="24"/>
                <w:highlight w:val="none"/>
              </w:rPr>
              <w:t>14.5投标文件应在投标邀请中规定的截止时间前送达，迟到的投标文件为无效投标文件, 将被拒收。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14</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b/>
                <w:color w:val="auto"/>
                <w:sz w:val="24"/>
                <w:szCs w:val="24"/>
                <w:highlight w:val="none"/>
              </w:rPr>
              <w:t>14.7</w:t>
            </w:r>
          </w:p>
        </w:tc>
        <w:tc>
          <w:tcPr>
            <w:tcW w:w="5925" w:type="dxa"/>
            <w:tcBorders>
              <w:top w:val="single" w:color="auto" w:sz="4" w:space="0"/>
              <w:left w:val="single" w:color="auto" w:sz="4" w:space="0"/>
              <w:bottom w:val="single" w:color="auto" w:sz="4" w:space="0"/>
              <w:right w:val="single" w:color="auto" w:sz="4" w:space="0"/>
            </w:tcBorders>
          </w:tcPr>
          <w:p>
            <w:pPr>
              <w:spacing w:line="360" w:lineRule="auto"/>
              <w:ind w:firstLine="480"/>
              <w:rPr>
                <w:rFonts w:ascii="宋体" w:hAnsi="宋体" w:cs="宋体"/>
                <w:b/>
                <w:color w:val="auto"/>
                <w:sz w:val="24"/>
                <w:szCs w:val="24"/>
                <w:highlight w:val="none"/>
              </w:rPr>
            </w:pPr>
            <w:r>
              <w:rPr>
                <w:rFonts w:hint="eastAsia" w:ascii="宋体" w:hAnsi="宋体" w:cs="宋体"/>
                <w:b/>
                <w:color w:val="auto"/>
                <w:sz w:val="24"/>
                <w:szCs w:val="24"/>
                <w:highlight w:val="none"/>
              </w:rPr>
              <w:t>14.7投标人在投标截止时间后不得修改、撤回投标文件。投标人在投标截止时间后修改投标文件的，其投标将被拒绝。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15</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17.</w:t>
            </w:r>
          </w:p>
        </w:tc>
        <w:tc>
          <w:tcPr>
            <w:tcW w:w="5925" w:type="dxa"/>
            <w:tcBorders>
              <w:top w:val="single" w:color="auto" w:sz="4" w:space="0"/>
              <w:left w:val="single" w:color="auto" w:sz="4" w:space="0"/>
              <w:bottom w:val="single" w:color="auto" w:sz="4" w:space="0"/>
              <w:right w:val="single" w:color="auto" w:sz="4" w:space="0"/>
            </w:tcBorders>
          </w:tcPr>
          <w:p>
            <w:pPr>
              <w:spacing w:line="360" w:lineRule="auto"/>
              <w:ind w:firstLine="482" w:firstLineChars="200"/>
              <w:rPr>
                <w:rFonts w:ascii="宋体" w:hAnsi="宋体" w:cs="宋体"/>
                <w:b/>
                <w:color w:val="auto"/>
                <w:sz w:val="24"/>
                <w:szCs w:val="24"/>
                <w:highlight w:val="none"/>
              </w:rPr>
            </w:pPr>
            <w:r>
              <w:rPr>
                <w:rFonts w:hint="eastAsia" w:ascii="宋体" w:hAnsi="宋体" w:cs="宋体"/>
                <w:b/>
                <w:color w:val="auto"/>
                <w:sz w:val="24"/>
                <w:szCs w:val="24"/>
                <w:highlight w:val="none"/>
              </w:rPr>
              <w:t>17.投标人任何试图影响评委会对投标文件的评估、比较或者推荐候选人的行为，都将导致其投标按照无效投标处理，并被没收投标保证金。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16</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
                <w:color w:val="auto"/>
                <w:sz w:val="24"/>
                <w:szCs w:val="24"/>
                <w:highlight w:val="none"/>
              </w:rPr>
            </w:pPr>
            <w:r>
              <w:rPr>
                <w:rFonts w:hint="eastAsia" w:ascii="宋体" w:hAnsi="宋体" w:cs="宋体"/>
                <w:color w:val="auto"/>
                <w:sz w:val="24"/>
                <w:szCs w:val="24"/>
                <w:highlight w:val="none"/>
              </w:rPr>
              <w:t>17.2</w:t>
            </w:r>
          </w:p>
        </w:tc>
        <w:tc>
          <w:tcPr>
            <w:tcW w:w="5925"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rPr>
                <w:rFonts w:ascii="宋体" w:hAnsi="宋体" w:cs="宋体"/>
                <w:b/>
                <w:color w:val="auto"/>
                <w:sz w:val="24"/>
                <w:szCs w:val="24"/>
                <w:highlight w:val="none"/>
              </w:rPr>
            </w:pPr>
            <w:r>
              <w:rPr>
                <w:rFonts w:hint="eastAsia" w:ascii="宋体" w:hAnsi="宋体" w:cs="宋体"/>
                <w:color w:val="auto"/>
                <w:sz w:val="24"/>
                <w:szCs w:val="24"/>
                <w:highlight w:val="none"/>
              </w:rPr>
              <w:t>17.2</w:t>
            </w:r>
            <w:r>
              <w:rPr>
                <w:rFonts w:hint="eastAsia" w:ascii="宋体" w:hAnsi="宋体" w:cs="宋体"/>
                <w:b/>
                <w:color w:val="auto"/>
                <w:sz w:val="24"/>
                <w:szCs w:val="24"/>
                <w:highlight w:val="none"/>
              </w:rPr>
              <w:t>如果投标人不接受按上述方法对投标文件中的算术错误进行更正，其投标将按照无效投标处理并被没收投标保证金。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17</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
                <w:color w:val="auto"/>
                <w:sz w:val="24"/>
                <w:szCs w:val="24"/>
                <w:highlight w:val="none"/>
              </w:rPr>
            </w:pPr>
            <w:r>
              <w:rPr>
                <w:rFonts w:hint="eastAsia" w:ascii="宋体" w:hAnsi="宋体" w:cs="宋体"/>
                <w:color w:val="auto"/>
                <w:sz w:val="24"/>
                <w:szCs w:val="24"/>
                <w:highlight w:val="none"/>
              </w:rPr>
              <w:t>17.3.2</w:t>
            </w:r>
          </w:p>
        </w:tc>
        <w:tc>
          <w:tcPr>
            <w:tcW w:w="5925"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17.3.2依据招标文件的规定，评标委员会还将从投标文件的有效性、完整性和对招标文件的响应程度等方面进行审查，以确定其是否符合对招标文件的实质性要求作出响应。（采购单位可根据具体项目的情况对实质性要求作特别的规定。）实质性偏离是指：（1）实质性影响合同的范围、质量和履行；（2）实质性违背招标文件，限制了采购单位（或使用单位）的权利和中标供应商合同项下的义务；（3）不公正地影响了其它作出实质性响应的投标人的竞争地位。对没有实质性响应的投标文件将不进行评估，其投标将按照无效投标处理。凡有下列情况之一者，投标文件也将被视为未实质性响应招标文件要求：</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 未按规定提交投标保证金的；</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(2)投标有效期不满足招标文件要求的；</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(3)投标内容与招标内容及要求有重大偏离或保留的；</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(4)投标人提交的是可选择的报价；</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(5)投标人未按招标文件要求对投标进行分项报价；</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(6)投标文件中提供虚假或失实资料的；</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 xml:space="preserve">(7)不符合招标文件中规定的其它实质性条款。 </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评标委员会决定投标的响应性只根据投标文件本身的内容，而不寻求其他的外部证据。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18</w:t>
            </w:r>
          </w:p>
        </w:tc>
        <w:tc>
          <w:tcPr>
            <w:tcW w:w="69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b/>
                <w:color w:val="auto"/>
                <w:sz w:val="24"/>
                <w:szCs w:val="24"/>
                <w:highlight w:val="none"/>
              </w:rPr>
              <w:t>17.3.3</w:t>
            </w:r>
          </w:p>
        </w:tc>
        <w:tc>
          <w:tcPr>
            <w:tcW w:w="5925" w:type="dxa"/>
            <w:tcBorders>
              <w:top w:val="single" w:color="auto" w:sz="4" w:space="0"/>
              <w:left w:val="single" w:color="auto" w:sz="4" w:space="0"/>
              <w:bottom w:val="single" w:color="auto" w:sz="4" w:space="0"/>
              <w:right w:val="single" w:color="auto" w:sz="4" w:space="0"/>
            </w:tcBorders>
          </w:tcPr>
          <w:p>
            <w:pPr>
              <w:spacing w:line="360" w:lineRule="auto"/>
              <w:ind w:firstLine="482" w:firstLineChars="200"/>
              <w:rPr>
                <w:rFonts w:ascii="宋体" w:hAnsi="宋体" w:cs="宋体"/>
                <w:color w:val="auto"/>
                <w:sz w:val="24"/>
                <w:szCs w:val="24"/>
                <w:highlight w:val="none"/>
              </w:rPr>
            </w:pPr>
            <w:r>
              <w:rPr>
                <w:rFonts w:hint="eastAsia" w:ascii="宋体" w:hAnsi="宋体" w:cs="宋体"/>
                <w:b/>
                <w:color w:val="auto"/>
                <w:sz w:val="24"/>
                <w:szCs w:val="24"/>
                <w:highlight w:val="none"/>
              </w:rPr>
              <w:t>17.3.3投标产品必须满足中华人民共和国相关法律法规及行业的强制性要求，否则该投标人的投标将按照无效投标处理。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trPr>
        <w:tc>
          <w:tcPr>
            <w:tcW w:w="696" w:type="dxa"/>
            <w:tcBorders>
              <w:top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19</w:t>
            </w:r>
          </w:p>
        </w:tc>
        <w:tc>
          <w:tcPr>
            <w:tcW w:w="696" w:type="dxa"/>
            <w:tcBorders>
              <w:top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tcBorders>
              <w:top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b/>
                <w:color w:val="auto"/>
                <w:sz w:val="24"/>
                <w:szCs w:val="24"/>
                <w:highlight w:val="none"/>
              </w:rPr>
              <w:t>17.3.4</w:t>
            </w:r>
          </w:p>
        </w:tc>
        <w:tc>
          <w:tcPr>
            <w:tcW w:w="5925" w:type="dxa"/>
            <w:tcBorders>
              <w:top w:val="single" w:color="auto" w:sz="4" w:space="0"/>
            </w:tcBorders>
            <w:vAlign w:val="center"/>
          </w:tcPr>
          <w:p>
            <w:pPr>
              <w:spacing w:line="360" w:lineRule="auto"/>
              <w:ind w:firstLine="482" w:firstLineChars="200"/>
              <w:rPr>
                <w:rFonts w:ascii="宋体" w:hAnsi="宋体" w:cs="宋体"/>
                <w:b/>
                <w:color w:val="auto"/>
                <w:sz w:val="24"/>
                <w:szCs w:val="24"/>
                <w:highlight w:val="none"/>
              </w:rPr>
            </w:pPr>
            <w:r>
              <w:rPr>
                <w:rFonts w:hint="eastAsia" w:ascii="宋体" w:hAnsi="宋体" w:cs="宋体"/>
                <w:b/>
                <w:color w:val="auto"/>
                <w:sz w:val="24"/>
                <w:szCs w:val="24"/>
                <w:highlight w:val="none"/>
              </w:rPr>
              <w:t>17.3.4采购单位（或使用单位）、招标代理机构有下列情形之一的，将被认定为采购单位（或使用单位）、招标代理机构与投标人有串通投标行为，该投标人投标作无效投标处理：</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（1）在开标前开启投标文件并将有关信息泄露给其他投标人;</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（2）评审结果公告前，直接或者间接向投标人泄露评标委员会成员等信息；</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（3）明示或者暗示投标人压低或者抬高投标报价；</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（4）授意投标人撤换、修改投标文件（按18条进行的澄清除外）；</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（5）明示或者暗示投标人为特定投标人中标提供方便；</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（6）为谋求特定投标人中标而采取的其他串通行为。</w:t>
            </w:r>
          </w:p>
          <w:p>
            <w:pPr>
              <w:spacing w:line="360" w:lineRule="auto"/>
              <w:ind w:firstLine="480" w:firstLineChars="200"/>
              <w:rPr>
                <w:rFonts w:ascii="宋体" w:hAns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20</w:t>
            </w:r>
          </w:p>
        </w:tc>
        <w:tc>
          <w:tcPr>
            <w:tcW w:w="696"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vAlign w:val="center"/>
          </w:tcPr>
          <w:p>
            <w:pPr>
              <w:spacing w:line="360" w:lineRule="auto"/>
              <w:jc w:val="center"/>
              <w:rPr>
                <w:rFonts w:ascii="宋体" w:hAnsi="宋体" w:cs="宋体"/>
                <w:color w:val="auto"/>
                <w:sz w:val="24"/>
                <w:szCs w:val="24"/>
                <w:highlight w:val="none"/>
              </w:rPr>
            </w:pPr>
            <w:r>
              <w:rPr>
                <w:rFonts w:hint="eastAsia" w:ascii="宋体" w:hAnsi="宋体" w:cs="宋体"/>
                <w:b/>
                <w:color w:val="auto"/>
                <w:kern w:val="0"/>
                <w:sz w:val="24"/>
                <w:szCs w:val="24"/>
                <w:highlight w:val="none"/>
              </w:rPr>
              <w:t>17.3.5</w:t>
            </w:r>
          </w:p>
        </w:tc>
        <w:tc>
          <w:tcPr>
            <w:tcW w:w="5925" w:type="dxa"/>
            <w:vAlign w:val="center"/>
          </w:tcPr>
          <w:p>
            <w:pPr>
              <w:spacing w:line="360" w:lineRule="auto"/>
              <w:ind w:firstLine="482" w:firstLineChars="200"/>
              <w:rPr>
                <w:rFonts w:ascii="宋体" w:hAnsi="宋体" w:cs="宋体"/>
                <w:b/>
                <w:color w:val="auto"/>
                <w:sz w:val="24"/>
                <w:szCs w:val="24"/>
                <w:highlight w:val="none"/>
              </w:rPr>
            </w:pPr>
            <w:r>
              <w:rPr>
                <w:rFonts w:hint="eastAsia" w:ascii="宋体" w:hAnsi="宋体" w:cs="宋体"/>
                <w:b/>
                <w:color w:val="auto"/>
                <w:kern w:val="0"/>
                <w:sz w:val="24"/>
                <w:szCs w:val="24"/>
                <w:highlight w:val="none"/>
              </w:rPr>
              <w:t>17.3.5出现17.3.4情形之一的，作无效投标处理的</w:t>
            </w:r>
            <w:r>
              <w:rPr>
                <w:rFonts w:hint="eastAsia" w:ascii="宋体" w:hAnsi="宋体" w:cs="宋体"/>
                <w:b/>
                <w:color w:val="auto"/>
                <w:sz w:val="24"/>
                <w:szCs w:val="24"/>
                <w:highlight w:val="none"/>
              </w:rPr>
              <w:t>投标人的投标保证金将予以没收，招标代理机构有权上报财政部门取消其采购供应商资格、并按有关规定予以处罚。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21</w:t>
            </w:r>
          </w:p>
        </w:tc>
        <w:tc>
          <w:tcPr>
            <w:tcW w:w="696"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vAlign w:val="center"/>
          </w:tcPr>
          <w:p>
            <w:pPr>
              <w:spacing w:line="360" w:lineRule="auto"/>
              <w:jc w:val="center"/>
              <w:rPr>
                <w:rFonts w:ascii="宋体" w:hAnsi="宋体" w:cs="宋体"/>
                <w:color w:val="auto"/>
                <w:sz w:val="24"/>
                <w:szCs w:val="24"/>
                <w:highlight w:val="none"/>
              </w:rPr>
            </w:pPr>
            <w:r>
              <w:rPr>
                <w:rFonts w:hint="eastAsia" w:ascii="宋体" w:hAnsi="宋体" w:cs="宋体"/>
                <w:b/>
                <w:color w:val="auto"/>
                <w:sz w:val="24"/>
                <w:szCs w:val="24"/>
                <w:highlight w:val="none"/>
              </w:rPr>
              <w:t>19.3</w:t>
            </w:r>
          </w:p>
        </w:tc>
        <w:tc>
          <w:tcPr>
            <w:tcW w:w="5925" w:type="dxa"/>
            <w:vAlign w:val="center"/>
          </w:tcPr>
          <w:p>
            <w:pPr>
              <w:spacing w:line="360" w:lineRule="auto"/>
              <w:ind w:firstLine="482" w:firstLineChars="200"/>
              <w:rPr>
                <w:rFonts w:ascii="宋体" w:hAnsi="宋体" w:cs="宋体"/>
                <w:b/>
                <w:color w:val="auto"/>
                <w:sz w:val="24"/>
                <w:szCs w:val="24"/>
                <w:highlight w:val="none"/>
              </w:rPr>
            </w:pPr>
            <w:r>
              <w:rPr>
                <w:rFonts w:hint="eastAsia" w:ascii="宋体" w:hAnsi="宋体" w:cs="宋体"/>
                <w:b/>
                <w:color w:val="auto"/>
                <w:sz w:val="24"/>
                <w:szCs w:val="24"/>
                <w:highlight w:val="none"/>
              </w:rPr>
              <w:t>19.3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22</w:t>
            </w:r>
          </w:p>
        </w:tc>
        <w:tc>
          <w:tcPr>
            <w:tcW w:w="696"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二</w:t>
            </w:r>
          </w:p>
        </w:tc>
        <w:tc>
          <w:tcPr>
            <w:tcW w:w="1422" w:type="dxa"/>
            <w:vAlign w:val="center"/>
          </w:tcPr>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22</w:t>
            </w:r>
          </w:p>
        </w:tc>
        <w:tc>
          <w:tcPr>
            <w:tcW w:w="5925" w:type="dxa"/>
            <w:vAlign w:val="center"/>
          </w:tcPr>
          <w:p>
            <w:pPr>
              <w:spacing w:line="360" w:lineRule="auto"/>
              <w:ind w:firstLine="480" w:firstLineChars="200"/>
              <w:rPr>
                <w:rFonts w:ascii="宋体" w:hAnsi="宋体" w:cs="宋体"/>
                <w:b/>
                <w:color w:val="auto"/>
                <w:sz w:val="24"/>
                <w:szCs w:val="24"/>
                <w:highlight w:val="none"/>
              </w:rPr>
            </w:pPr>
            <w:r>
              <w:rPr>
                <w:rFonts w:hint="eastAsia" w:ascii="宋体" w:hAnsi="宋体" w:cs="宋体"/>
                <w:color w:val="auto"/>
                <w:sz w:val="24"/>
                <w:szCs w:val="24"/>
                <w:highlight w:val="none"/>
              </w:rPr>
              <w:t>投标人一旦中标，应在规定时间内凭中标通知书原件按第四章合同文本要求签订合同，并且凭中标供应商开具的本单位一般纳税人增值税专用发票（13%税点）向厦门万翔网络商务有限公司申请支付相应货款。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23</w:t>
            </w:r>
          </w:p>
        </w:tc>
        <w:tc>
          <w:tcPr>
            <w:tcW w:w="696" w:type="dxa"/>
            <w:vAlign w:val="center"/>
          </w:tcPr>
          <w:p>
            <w:pPr>
              <w:spacing w:line="360" w:lineRule="auto"/>
              <w:jc w:val="center"/>
              <w:rPr>
                <w:rFonts w:ascii="宋体" w:hAnsi="宋体" w:cs="宋体"/>
                <w:color w:val="auto"/>
                <w:sz w:val="24"/>
                <w:szCs w:val="24"/>
                <w:highlight w:val="none"/>
              </w:rPr>
            </w:pPr>
          </w:p>
        </w:tc>
        <w:tc>
          <w:tcPr>
            <w:tcW w:w="1422" w:type="dxa"/>
            <w:vAlign w:val="center"/>
          </w:tcPr>
          <w:p>
            <w:pPr>
              <w:spacing w:line="360" w:lineRule="auto"/>
              <w:jc w:val="center"/>
              <w:rPr>
                <w:rFonts w:ascii="宋体" w:hAnsi="宋体" w:cs="宋体"/>
                <w:color w:val="auto"/>
                <w:sz w:val="24"/>
                <w:szCs w:val="24"/>
                <w:highlight w:val="none"/>
              </w:rPr>
            </w:pPr>
          </w:p>
        </w:tc>
        <w:tc>
          <w:tcPr>
            <w:tcW w:w="5925" w:type="dxa"/>
            <w:vAlign w:val="center"/>
          </w:tcPr>
          <w:p>
            <w:pPr>
              <w:spacing w:line="360" w:lineRule="auto"/>
              <w:rPr>
                <w:rFonts w:ascii="宋体" w:hAnsi="宋体" w:cs="宋体"/>
                <w:bCs/>
                <w:color w:val="auto"/>
                <w:sz w:val="24"/>
                <w:szCs w:val="24"/>
                <w:highlight w:val="none"/>
              </w:rPr>
            </w:pPr>
            <w:r>
              <w:rPr>
                <w:rFonts w:hint="eastAsia" w:ascii="宋体" w:hAnsi="宋体" w:cs="宋体"/>
                <w:bCs/>
                <w:color w:val="auto"/>
                <w:sz w:val="24"/>
                <w:szCs w:val="24"/>
                <w:highlight w:val="none"/>
              </w:rPr>
              <w:t>投标人如果为联合体投标，则必须同时满足下列要求，否则</w:t>
            </w:r>
            <w:r>
              <w:rPr>
                <w:rFonts w:hint="eastAsia" w:ascii="宋体" w:hAnsi="宋体" w:cs="宋体"/>
                <w:color w:val="auto"/>
                <w:sz w:val="24"/>
                <w:szCs w:val="24"/>
                <w:highlight w:val="none"/>
              </w:rPr>
              <w:t>该投标人的投标将按照无效投标处理</w:t>
            </w:r>
            <w:r>
              <w:rPr>
                <w:rFonts w:hint="eastAsia" w:ascii="宋体" w:hAnsi="宋体" w:cs="宋体"/>
                <w:bCs/>
                <w:color w:val="auto"/>
                <w:sz w:val="24"/>
                <w:szCs w:val="24"/>
                <w:highlight w:val="none"/>
              </w:rPr>
              <w:t>：</w:t>
            </w:r>
          </w:p>
          <w:p>
            <w:pPr>
              <w:spacing w:line="360" w:lineRule="auto"/>
              <w:rPr>
                <w:rFonts w:ascii="宋体" w:hAnsi="宋体" w:cs="宋体"/>
                <w:bCs/>
                <w:color w:val="auto"/>
                <w:sz w:val="24"/>
                <w:szCs w:val="24"/>
                <w:highlight w:val="none"/>
              </w:rPr>
            </w:pPr>
            <w:r>
              <w:rPr>
                <w:rFonts w:hint="eastAsia" w:ascii="宋体" w:hAnsi="宋体" w:cs="宋体"/>
                <w:bCs/>
                <w:color w:val="auto"/>
                <w:sz w:val="24"/>
                <w:szCs w:val="24"/>
                <w:highlight w:val="none"/>
              </w:rPr>
              <w:t>①在开标一览表中注明是否联合体投标、联合体组成单位；</w:t>
            </w:r>
          </w:p>
          <w:p>
            <w:pPr>
              <w:spacing w:line="360" w:lineRule="auto"/>
              <w:jc w:val="left"/>
              <w:rPr>
                <w:rFonts w:ascii="宋体" w:hAnsi="宋体" w:cs="宋体"/>
                <w:color w:val="auto"/>
                <w:sz w:val="24"/>
                <w:szCs w:val="24"/>
                <w:highlight w:val="none"/>
              </w:rPr>
            </w:pPr>
            <w:r>
              <w:rPr>
                <w:rFonts w:hint="eastAsia" w:ascii="宋体" w:hAnsi="宋体" w:cs="宋体"/>
                <w:bCs/>
                <w:color w:val="auto"/>
                <w:sz w:val="24"/>
                <w:szCs w:val="24"/>
                <w:highlight w:val="none"/>
              </w:rPr>
              <w:t>②在投标文件中提供各方盖章签署的共同投标协议原件。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pPr>
              <w:pStyle w:val="3"/>
              <w:snapToGrid w:val="0"/>
              <w:spacing w:line="360" w:lineRule="auto"/>
              <w:ind w:firstLine="0"/>
              <w:jc w:val="center"/>
              <w:rPr>
                <w:rFonts w:ascii="宋体" w:hAnsi="宋体" w:cs="宋体"/>
                <w:color w:val="auto"/>
                <w:sz w:val="24"/>
                <w:szCs w:val="24"/>
                <w:highlight w:val="none"/>
              </w:rPr>
            </w:pPr>
            <w:r>
              <w:rPr>
                <w:rFonts w:hint="eastAsia" w:ascii="宋体" w:hAnsi="宋体" w:cs="宋体"/>
                <w:color w:val="auto"/>
                <w:sz w:val="24"/>
                <w:szCs w:val="24"/>
                <w:highlight w:val="none"/>
              </w:rPr>
              <w:t>24</w:t>
            </w:r>
          </w:p>
        </w:tc>
        <w:tc>
          <w:tcPr>
            <w:tcW w:w="696" w:type="dxa"/>
            <w:vAlign w:val="center"/>
          </w:tcPr>
          <w:p>
            <w:pPr>
              <w:spacing w:line="360" w:lineRule="auto"/>
              <w:jc w:val="center"/>
              <w:rPr>
                <w:rFonts w:ascii="宋体" w:hAnsi="宋体" w:cs="宋体"/>
                <w:color w:val="auto"/>
                <w:sz w:val="24"/>
                <w:szCs w:val="24"/>
                <w:highlight w:val="none"/>
              </w:rPr>
            </w:pPr>
          </w:p>
        </w:tc>
        <w:tc>
          <w:tcPr>
            <w:tcW w:w="1422" w:type="dxa"/>
            <w:vAlign w:val="center"/>
          </w:tcPr>
          <w:p>
            <w:pPr>
              <w:spacing w:line="360" w:lineRule="auto"/>
              <w:jc w:val="center"/>
              <w:rPr>
                <w:rFonts w:ascii="宋体" w:hAnsi="宋体" w:cs="宋体"/>
                <w:color w:val="auto"/>
                <w:sz w:val="24"/>
                <w:szCs w:val="24"/>
                <w:highlight w:val="none"/>
              </w:rPr>
            </w:pPr>
          </w:p>
        </w:tc>
        <w:tc>
          <w:tcPr>
            <w:tcW w:w="5925" w:type="dxa"/>
            <w:vAlign w:val="center"/>
          </w:tcPr>
          <w:p>
            <w:pPr>
              <w:spacing w:line="360" w:lineRule="auto"/>
              <w:jc w:val="left"/>
              <w:rPr>
                <w:rFonts w:ascii="宋体" w:hAnsi="宋体" w:cs="宋体"/>
                <w:color w:val="auto"/>
                <w:sz w:val="24"/>
                <w:szCs w:val="24"/>
                <w:highlight w:val="none"/>
              </w:rPr>
            </w:pPr>
            <w:r>
              <w:rPr>
                <w:rFonts w:hint="eastAsia" w:ascii="宋体" w:hAnsi="宋体" w:cs="宋体"/>
                <w:bCs/>
                <w:color w:val="auto"/>
                <w:sz w:val="24"/>
                <w:szCs w:val="24"/>
                <w:highlight w:val="none"/>
              </w:rPr>
              <w:t>投标文件中不得附有采购单位</w:t>
            </w:r>
            <w:r>
              <w:rPr>
                <w:rFonts w:hint="eastAsia" w:ascii="宋体" w:hAnsi="宋体" w:cs="宋体"/>
                <w:color w:val="auto"/>
                <w:sz w:val="24"/>
                <w:szCs w:val="24"/>
                <w:highlight w:val="none"/>
              </w:rPr>
              <w:t>（或使用单位）</w:t>
            </w:r>
            <w:r>
              <w:rPr>
                <w:rFonts w:hint="eastAsia" w:ascii="宋体" w:hAnsi="宋体" w:cs="宋体"/>
                <w:bCs/>
                <w:color w:val="auto"/>
                <w:sz w:val="24"/>
                <w:szCs w:val="24"/>
                <w:highlight w:val="none"/>
              </w:rPr>
              <w:t>不能接受的条款，</w:t>
            </w:r>
            <w:r>
              <w:rPr>
                <w:rFonts w:hint="eastAsia" w:ascii="宋体" w:hAnsi="宋体" w:cs="宋体"/>
                <w:color w:val="auto"/>
                <w:sz w:val="24"/>
                <w:szCs w:val="24"/>
                <w:highlight w:val="none"/>
              </w:rPr>
              <w:t>否则该投标人的投标将按照无效投标处理。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pPr>
              <w:pStyle w:val="3"/>
              <w:snapToGrid w:val="0"/>
              <w:spacing w:line="360" w:lineRule="auto"/>
              <w:ind w:firstLine="0"/>
              <w:jc w:val="center"/>
              <w:rPr>
                <w:rFonts w:ascii="宋体" w:hAnsi="宋体" w:cs="宋体"/>
                <w:color w:val="auto"/>
                <w:sz w:val="24"/>
                <w:szCs w:val="24"/>
                <w:highlight w:val="none"/>
              </w:rPr>
            </w:pPr>
            <w:r>
              <w:rPr>
                <w:rFonts w:hint="eastAsia" w:ascii="宋体" w:hAnsi="宋体" w:cs="宋体"/>
                <w:color w:val="auto"/>
                <w:sz w:val="24"/>
                <w:szCs w:val="24"/>
                <w:highlight w:val="none"/>
              </w:rPr>
              <w:t>25</w:t>
            </w:r>
          </w:p>
        </w:tc>
        <w:tc>
          <w:tcPr>
            <w:tcW w:w="696" w:type="dxa"/>
            <w:vAlign w:val="center"/>
          </w:tcPr>
          <w:p>
            <w:pPr>
              <w:pStyle w:val="3"/>
              <w:snapToGrid w:val="0"/>
              <w:spacing w:line="360" w:lineRule="auto"/>
              <w:ind w:firstLine="0"/>
              <w:jc w:val="center"/>
              <w:rPr>
                <w:rFonts w:ascii="宋体" w:hAnsi="宋体" w:cs="宋体"/>
                <w:color w:val="auto"/>
                <w:sz w:val="24"/>
                <w:szCs w:val="24"/>
                <w:highlight w:val="none"/>
              </w:rPr>
            </w:pPr>
          </w:p>
        </w:tc>
        <w:tc>
          <w:tcPr>
            <w:tcW w:w="1422" w:type="dxa"/>
            <w:vAlign w:val="center"/>
          </w:tcPr>
          <w:p>
            <w:pPr>
              <w:pStyle w:val="3"/>
              <w:snapToGrid w:val="0"/>
              <w:spacing w:line="360" w:lineRule="auto"/>
              <w:ind w:firstLine="0"/>
              <w:jc w:val="center"/>
              <w:rPr>
                <w:rFonts w:ascii="宋体" w:hAnsi="宋体" w:cs="宋体"/>
                <w:b/>
                <w:color w:val="auto"/>
                <w:sz w:val="24"/>
                <w:szCs w:val="24"/>
                <w:highlight w:val="none"/>
              </w:rPr>
            </w:pPr>
          </w:p>
        </w:tc>
        <w:tc>
          <w:tcPr>
            <w:tcW w:w="5925" w:type="dxa"/>
            <w:vAlign w:val="center"/>
          </w:tcPr>
          <w:p>
            <w:pPr>
              <w:pStyle w:val="3"/>
              <w:snapToGrid w:val="0"/>
              <w:spacing w:line="360" w:lineRule="auto"/>
              <w:ind w:firstLine="0"/>
              <w:jc w:val="left"/>
              <w:rPr>
                <w:rFonts w:ascii="宋体" w:hAnsi="宋体" w:cs="宋体"/>
                <w:b/>
                <w:color w:val="auto"/>
                <w:sz w:val="24"/>
                <w:szCs w:val="24"/>
                <w:highlight w:val="none"/>
              </w:rPr>
            </w:pPr>
            <w:r>
              <w:rPr>
                <w:rFonts w:hint="eastAsia" w:ascii="宋体" w:hAnsi="宋体" w:cs="宋体"/>
                <w:bCs/>
                <w:color w:val="auto"/>
                <w:sz w:val="24"/>
                <w:szCs w:val="24"/>
                <w:highlight w:val="none"/>
              </w:rPr>
              <w:t>本项目以合同包为单位，对于每个合同包，投标人必须完整地提供合同包要求的所有货物和服务，否则</w:t>
            </w:r>
            <w:r>
              <w:rPr>
                <w:rFonts w:hint="eastAsia" w:ascii="宋体" w:hAnsi="宋体" w:cs="宋体"/>
                <w:color w:val="auto"/>
                <w:sz w:val="24"/>
                <w:szCs w:val="24"/>
                <w:highlight w:val="none"/>
              </w:rPr>
              <w:t>该投标人针对该合同包的投标将按照无效投标处理</w:t>
            </w:r>
            <w:r>
              <w:rPr>
                <w:rFonts w:hint="eastAsia" w:ascii="宋体" w:hAnsi="宋体" w:cs="宋体"/>
                <w:bCs/>
                <w:color w:val="auto"/>
                <w:sz w:val="24"/>
                <w:szCs w:val="24"/>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pPr>
              <w:pStyle w:val="3"/>
              <w:snapToGrid w:val="0"/>
              <w:spacing w:line="360" w:lineRule="auto"/>
              <w:ind w:firstLine="0"/>
              <w:jc w:val="center"/>
              <w:rPr>
                <w:rFonts w:ascii="宋体" w:hAnsi="宋体" w:cs="宋体"/>
                <w:color w:val="auto"/>
                <w:sz w:val="24"/>
                <w:szCs w:val="24"/>
                <w:highlight w:val="none"/>
              </w:rPr>
            </w:pPr>
            <w:r>
              <w:rPr>
                <w:rFonts w:hint="eastAsia" w:ascii="宋体" w:hAnsi="宋体" w:cs="宋体"/>
                <w:color w:val="auto"/>
                <w:sz w:val="24"/>
                <w:szCs w:val="24"/>
                <w:highlight w:val="none"/>
              </w:rPr>
              <w:t>26</w:t>
            </w:r>
          </w:p>
        </w:tc>
        <w:tc>
          <w:tcPr>
            <w:tcW w:w="696" w:type="dxa"/>
            <w:vAlign w:val="center"/>
          </w:tcPr>
          <w:p>
            <w:pPr>
              <w:pStyle w:val="3"/>
              <w:snapToGrid w:val="0"/>
              <w:spacing w:line="360" w:lineRule="auto"/>
              <w:ind w:firstLine="0"/>
              <w:jc w:val="center"/>
              <w:rPr>
                <w:rFonts w:ascii="宋体" w:hAnsi="宋体" w:cs="宋体"/>
                <w:b/>
                <w:color w:val="auto"/>
                <w:sz w:val="24"/>
                <w:szCs w:val="24"/>
                <w:highlight w:val="none"/>
              </w:rPr>
            </w:pPr>
          </w:p>
        </w:tc>
        <w:tc>
          <w:tcPr>
            <w:tcW w:w="1422" w:type="dxa"/>
            <w:vAlign w:val="center"/>
          </w:tcPr>
          <w:p>
            <w:pPr>
              <w:pStyle w:val="3"/>
              <w:snapToGrid w:val="0"/>
              <w:spacing w:line="360" w:lineRule="auto"/>
              <w:ind w:firstLine="0"/>
              <w:jc w:val="center"/>
              <w:rPr>
                <w:rFonts w:ascii="宋体" w:hAnsi="宋体" w:cs="宋体"/>
                <w:b/>
                <w:color w:val="auto"/>
                <w:sz w:val="24"/>
                <w:szCs w:val="24"/>
                <w:highlight w:val="none"/>
              </w:rPr>
            </w:pPr>
          </w:p>
        </w:tc>
        <w:tc>
          <w:tcPr>
            <w:tcW w:w="5925" w:type="dxa"/>
            <w:vAlign w:val="center"/>
          </w:tcPr>
          <w:p>
            <w:pPr>
              <w:spacing w:line="360" w:lineRule="auto"/>
              <w:rPr>
                <w:rFonts w:ascii="宋体" w:hAnsi="宋体" w:cs="宋体"/>
                <w:bCs/>
                <w:color w:val="auto"/>
                <w:sz w:val="24"/>
                <w:szCs w:val="24"/>
                <w:highlight w:val="none"/>
              </w:rPr>
            </w:pPr>
            <w:r>
              <w:rPr>
                <w:rFonts w:hint="eastAsia" w:ascii="宋体" w:hAnsi="宋体" w:cs="宋体"/>
                <w:bCs/>
                <w:color w:val="auto"/>
                <w:sz w:val="24"/>
                <w:szCs w:val="24"/>
                <w:highlight w:val="none"/>
              </w:rPr>
              <w:t>投标人应对其在投标文件中声明的关于中小企业事项的真实性负责，存在以下情形之一的，经评标委员会查实，应认定存在虚假的：</w:t>
            </w:r>
          </w:p>
          <w:p>
            <w:pPr>
              <w:spacing w:line="360" w:lineRule="auto"/>
              <w:rPr>
                <w:rFonts w:ascii="宋体" w:hAnsi="宋体" w:cs="宋体"/>
                <w:bCs/>
                <w:color w:val="auto"/>
                <w:sz w:val="24"/>
                <w:szCs w:val="24"/>
                <w:highlight w:val="none"/>
              </w:rPr>
            </w:pPr>
            <w:r>
              <w:rPr>
                <w:rFonts w:hint="eastAsia" w:ascii="宋体" w:hAnsi="宋体" w:cs="宋体"/>
                <w:bCs/>
                <w:color w:val="auto"/>
                <w:sz w:val="24"/>
                <w:szCs w:val="24"/>
                <w:highlight w:val="none"/>
              </w:rPr>
              <w:t>（1）投标人（包括联合体任一方）不符合“工信部联企业[2011]300号”规定的中小企业标准的；</w:t>
            </w:r>
          </w:p>
          <w:p>
            <w:pPr>
              <w:spacing w:line="360" w:lineRule="auto"/>
              <w:rPr>
                <w:rFonts w:ascii="宋体" w:hAnsi="宋体" w:cs="宋体"/>
                <w:bCs/>
                <w:color w:val="auto"/>
                <w:sz w:val="24"/>
                <w:szCs w:val="24"/>
                <w:highlight w:val="none"/>
              </w:rPr>
            </w:pPr>
            <w:r>
              <w:rPr>
                <w:rFonts w:hint="eastAsia" w:ascii="宋体" w:hAnsi="宋体" w:cs="宋体"/>
                <w:bCs/>
                <w:color w:val="auto"/>
                <w:sz w:val="24"/>
                <w:szCs w:val="24"/>
                <w:highlight w:val="none"/>
              </w:rPr>
              <w:t>（2）投标货物全部或部分为使用大型企业注册商标的货物的；</w:t>
            </w:r>
          </w:p>
          <w:p>
            <w:pPr>
              <w:spacing w:line="360" w:lineRule="auto"/>
              <w:rPr>
                <w:rFonts w:ascii="宋体" w:hAnsi="宋体" w:cs="宋体"/>
                <w:bCs/>
                <w:color w:val="auto"/>
                <w:sz w:val="24"/>
                <w:szCs w:val="24"/>
                <w:highlight w:val="none"/>
              </w:rPr>
            </w:pPr>
            <w:r>
              <w:rPr>
                <w:rFonts w:hint="eastAsia" w:ascii="宋体" w:hAnsi="宋体" w:cs="宋体"/>
                <w:bCs/>
                <w:color w:val="auto"/>
                <w:sz w:val="24"/>
                <w:szCs w:val="24"/>
                <w:highlight w:val="none"/>
              </w:rPr>
              <w:t>（3）投标文件中标明的小型或微型企业产品的制造商不符合“工信部联企业[2011]300号”规定的小型和微型企业标准的。</w:t>
            </w:r>
          </w:p>
          <w:p>
            <w:pPr>
              <w:pStyle w:val="3"/>
              <w:snapToGrid w:val="0"/>
              <w:spacing w:line="360" w:lineRule="auto"/>
              <w:ind w:firstLine="0"/>
              <w:jc w:val="left"/>
              <w:rPr>
                <w:rFonts w:ascii="宋体" w:hAnsi="宋体" w:cs="宋体"/>
                <w:b/>
                <w:color w:val="auto"/>
                <w:sz w:val="24"/>
                <w:szCs w:val="24"/>
                <w:highlight w:val="none"/>
              </w:rPr>
            </w:pPr>
            <w:r>
              <w:rPr>
                <w:rFonts w:hint="eastAsia" w:ascii="宋体" w:hAnsi="宋体" w:cs="宋体"/>
                <w:bCs/>
                <w:color w:val="auto"/>
                <w:sz w:val="24"/>
                <w:szCs w:val="24"/>
                <w:highlight w:val="none"/>
              </w:rPr>
              <w:t>在评审过程中发现上述虚假情形的，该投标人的投标作无效投标处理。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pPr>
              <w:pStyle w:val="3"/>
              <w:snapToGrid w:val="0"/>
              <w:spacing w:line="360" w:lineRule="auto"/>
              <w:ind w:firstLine="0"/>
              <w:jc w:val="center"/>
              <w:rPr>
                <w:rFonts w:ascii="宋体" w:hAnsi="宋体" w:cs="宋体"/>
                <w:color w:val="auto"/>
                <w:sz w:val="24"/>
                <w:szCs w:val="24"/>
                <w:highlight w:val="none"/>
              </w:rPr>
            </w:pPr>
            <w:r>
              <w:rPr>
                <w:rFonts w:hint="eastAsia" w:ascii="宋体" w:hAnsi="宋体" w:cs="宋体"/>
                <w:color w:val="auto"/>
                <w:sz w:val="24"/>
                <w:szCs w:val="24"/>
                <w:highlight w:val="none"/>
              </w:rPr>
              <w:t>27</w:t>
            </w:r>
          </w:p>
        </w:tc>
        <w:tc>
          <w:tcPr>
            <w:tcW w:w="696" w:type="dxa"/>
            <w:vAlign w:val="center"/>
          </w:tcPr>
          <w:p>
            <w:pPr>
              <w:pStyle w:val="3"/>
              <w:snapToGrid w:val="0"/>
              <w:spacing w:line="360" w:lineRule="auto"/>
              <w:ind w:firstLine="0"/>
              <w:jc w:val="center"/>
              <w:rPr>
                <w:rFonts w:ascii="宋体" w:hAnsi="宋体" w:cs="宋体"/>
                <w:b/>
                <w:color w:val="auto"/>
                <w:sz w:val="24"/>
                <w:szCs w:val="24"/>
                <w:highlight w:val="none"/>
              </w:rPr>
            </w:pPr>
          </w:p>
        </w:tc>
        <w:tc>
          <w:tcPr>
            <w:tcW w:w="1422" w:type="dxa"/>
            <w:vAlign w:val="center"/>
          </w:tcPr>
          <w:p>
            <w:pPr>
              <w:pStyle w:val="3"/>
              <w:snapToGrid w:val="0"/>
              <w:spacing w:line="360" w:lineRule="auto"/>
              <w:ind w:firstLine="0"/>
              <w:jc w:val="center"/>
              <w:rPr>
                <w:rFonts w:ascii="宋体" w:hAnsi="宋体" w:cs="宋体"/>
                <w:b/>
                <w:color w:val="auto"/>
                <w:sz w:val="24"/>
                <w:szCs w:val="24"/>
                <w:highlight w:val="none"/>
              </w:rPr>
            </w:pPr>
          </w:p>
        </w:tc>
        <w:tc>
          <w:tcPr>
            <w:tcW w:w="5925" w:type="dxa"/>
            <w:vAlign w:val="center"/>
          </w:tcPr>
          <w:p>
            <w:pPr>
              <w:pStyle w:val="3"/>
              <w:snapToGrid w:val="0"/>
              <w:spacing w:line="360" w:lineRule="auto"/>
              <w:ind w:firstLine="0"/>
              <w:jc w:val="left"/>
              <w:rPr>
                <w:rFonts w:ascii="宋体" w:hAnsi="宋体" w:cs="宋体"/>
                <w:color w:val="auto"/>
                <w:sz w:val="24"/>
                <w:szCs w:val="24"/>
                <w:highlight w:val="none"/>
              </w:rPr>
            </w:pPr>
            <w:r>
              <w:rPr>
                <w:rFonts w:hint="eastAsia" w:ascii="宋体" w:hAnsi="宋体" w:cs="宋体"/>
                <w:bCs/>
                <w:color w:val="auto"/>
                <w:sz w:val="24"/>
                <w:szCs w:val="24"/>
                <w:highlight w:val="none"/>
              </w:rPr>
              <w:t>减半交纳投标保证金的投标人未按照招标文件格式要求在投标文件中提供《中小企业声明函》的，其投标作无效投标处理。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pPr>
              <w:pStyle w:val="3"/>
              <w:snapToGrid w:val="0"/>
              <w:spacing w:line="360" w:lineRule="auto"/>
              <w:ind w:firstLine="0"/>
              <w:jc w:val="center"/>
              <w:rPr>
                <w:rFonts w:ascii="宋体" w:hAnsi="宋体" w:cs="宋体"/>
                <w:color w:val="auto"/>
                <w:sz w:val="24"/>
                <w:szCs w:val="24"/>
                <w:highlight w:val="none"/>
              </w:rPr>
            </w:pPr>
            <w:r>
              <w:rPr>
                <w:rFonts w:hint="eastAsia" w:ascii="宋体" w:hAnsi="宋体" w:cs="宋体"/>
                <w:color w:val="auto"/>
                <w:sz w:val="24"/>
                <w:szCs w:val="24"/>
                <w:highlight w:val="none"/>
              </w:rPr>
              <w:t>28</w:t>
            </w:r>
          </w:p>
        </w:tc>
        <w:tc>
          <w:tcPr>
            <w:tcW w:w="696" w:type="dxa"/>
            <w:tcBorders>
              <w:bottom w:val="single" w:color="auto" w:sz="4" w:space="0"/>
            </w:tcBorders>
            <w:vAlign w:val="center"/>
          </w:tcPr>
          <w:p>
            <w:pPr>
              <w:pStyle w:val="3"/>
              <w:snapToGrid w:val="0"/>
              <w:spacing w:line="360" w:lineRule="auto"/>
              <w:ind w:firstLine="0"/>
              <w:jc w:val="center"/>
              <w:rPr>
                <w:rFonts w:ascii="宋体" w:hAnsi="宋体" w:cs="宋体"/>
                <w:b/>
                <w:color w:val="auto"/>
                <w:sz w:val="24"/>
                <w:szCs w:val="24"/>
                <w:highlight w:val="none"/>
              </w:rPr>
            </w:pPr>
          </w:p>
        </w:tc>
        <w:tc>
          <w:tcPr>
            <w:tcW w:w="1422" w:type="dxa"/>
            <w:tcBorders>
              <w:bottom w:val="single" w:color="auto" w:sz="4" w:space="0"/>
            </w:tcBorders>
            <w:vAlign w:val="center"/>
          </w:tcPr>
          <w:p>
            <w:pPr>
              <w:pStyle w:val="3"/>
              <w:snapToGrid w:val="0"/>
              <w:spacing w:line="360" w:lineRule="auto"/>
              <w:ind w:firstLine="0"/>
              <w:jc w:val="center"/>
              <w:rPr>
                <w:rFonts w:ascii="宋体" w:hAnsi="宋体" w:cs="宋体"/>
                <w:b/>
                <w:color w:val="auto"/>
                <w:sz w:val="24"/>
                <w:szCs w:val="24"/>
                <w:highlight w:val="none"/>
              </w:rPr>
            </w:pPr>
          </w:p>
        </w:tc>
        <w:tc>
          <w:tcPr>
            <w:tcW w:w="5925" w:type="dxa"/>
            <w:tcBorders>
              <w:bottom w:val="single" w:color="auto" w:sz="4" w:space="0"/>
            </w:tcBorders>
            <w:vAlign w:val="center"/>
          </w:tcPr>
          <w:p>
            <w:pPr>
              <w:pStyle w:val="3"/>
              <w:snapToGrid w:val="0"/>
              <w:spacing w:line="360" w:lineRule="auto"/>
              <w:ind w:firstLine="0"/>
              <w:rPr>
                <w:rFonts w:ascii="宋体" w:hAnsi="宋体" w:cs="宋体"/>
                <w:b/>
                <w:color w:val="auto"/>
                <w:sz w:val="24"/>
                <w:szCs w:val="24"/>
                <w:highlight w:val="none"/>
              </w:rPr>
            </w:pPr>
            <w:r>
              <w:rPr>
                <w:rFonts w:hint="eastAsia" w:ascii="宋体" w:hAnsi="宋体" w:cs="宋体"/>
                <w:bCs/>
                <w:color w:val="auto"/>
                <w:sz w:val="24"/>
                <w:szCs w:val="24"/>
                <w:highlight w:val="none"/>
              </w:rPr>
              <w:t>投标人应按照招标文件格式要求在投标文件中提供《廉洁承诺书》原件（投标人为联合体的，联合体各方均应提供《廉洁承诺书》原件），否则作无效投标处理。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pPr>
              <w:pStyle w:val="3"/>
              <w:snapToGrid w:val="0"/>
              <w:spacing w:line="360" w:lineRule="auto"/>
              <w:ind w:firstLine="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29</w:t>
            </w:r>
          </w:p>
        </w:tc>
        <w:tc>
          <w:tcPr>
            <w:tcW w:w="696" w:type="dxa"/>
            <w:tcBorders>
              <w:bottom w:val="single" w:color="auto" w:sz="4" w:space="0"/>
            </w:tcBorders>
            <w:vAlign w:val="center"/>
          </w:tcPr>
          <w:p>
            <w:pPr>
              <w:pStyle w:val="3"/>
              <w:snapToGrid w:val="0"/>
              <w:spacing w:line="360" w:lineRule="auto"/>
              <w:ind w:firstLine="0"/>
              <w:jc w:val="center"/>
              <w:rPr>
                <w:rFonts w:ascii="宋体" w:hAnsi="宋体" w:cs="宋体"/>
                <w:b/>
                <w:color w:val="auto"/>
                <w:sz w:val="24"/>
                <w:szCs w:val="24"/>
                <w:highlight w:val="none"/>
              </w:rPr>
            </w:pPr>
          </w:p>
        </w:tc>
        <w:tc>
          <w:tcPr>
            <w:tcW w:w="1422" w:type="dxa"/>
            <w:tcBorders>
              <w:bottom w:val="single" w:color="auto" w:sz="4" w:space="0"/>
            </w:tcBorders>
            <w:vAlign w:val="center"/>
          </w:tcPr>
          <w:p>
            <w:pPr>
              <w:pStyle w:val="3"/>
              <w:snapToGrid w:val="0"/>
              <w:spacing w:line="360" w:lineRule="auto"/>
              <w:ind w:firstLine="0"/>
              <w:jc w:val="center"/>
              <w:rPr>
                <w:rFonts w:ascii="宋体" w:hAnsi="宋体" w:cs="宋体"/>
                <w:b/>
                <w:color w:val="auto"/>
                <w:sz w:val="24"/>
                <w:szCs w:val="24"/>
                <w:highlight w:val="none"/>
              </w:rPr>
            </w:pPr>
          </w:p>
        </w:tc>
        <w:tc>
          <w:tcPr>
            <w:tcW w:w="5925" w:type="dxa"/>
            <w:tcBorders>
              <w:bottom w:val="single" w:color="auto" w:sz="4" w:space="0"/>
            </w:tcBorders>
            <w:vAlign w:val="center"/>
          </w:tcPr>
          <w:p>
            <w:pPr>
              <w:spacing w:line="360" w:lineRule="auto"/>
              <w:rPr>
                <w:rFonts w:ascii="宋体" w:hAnsi="宋体" w:cs="宋体"/>
                <w:b/>
                <w:color w:val="auto"/>
                <w:sz w:val="24"/>
                <w:szCs w:val="24"/>
                <w:highlight w:val="none"/>
              </w:rPr>
            </w:pPr>
            <w:r>
              <w:rPr>
                <w:rFonts w:hint="eastAsia" w:ascii="宋体" w:hAnsi="宋体" w:cs="宋体"/>
                <w:bCs/>
                <w:color w:val="auto"/>
                <w:sz w:val="24"/>
                <w:szCs w:val="24"/>
                <w:highlight w:val="none"/>
              </w:rPr>
              <w:t>其他不满足招标文件要求经评标委员会认定须作无效投标处理的。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pPr>
              <w:keepNext w:val="0"/>
              <w:keepLines w:val="0"/>
              <w:suppressLineNumbers w:val="0"/>
              <w:spacing w:before="0" w:beforeAutospacing="0" w:after="0" w:afterAutospacing="0" w:line="360" w:lineRule="auto"/>
              <w:ind w:left="0" w:leftChars="0" w:right="0" w:rightChars="0"/>
              <w:jc w:val="center"/>
              <w:rPr>
                <w:rFonts w:ascii="宋体" w:hAnsi="宋体" w:cs="宋体"/>
                <w:color w:val="auto"/>
                <w:sz w:val="24"/>
                <w:szCs w:val="24"/>
                <w:highlight w:val="none"/>
              </w:rPr>
            </w:pPr>
            <w:r>
              <w:rPr>
                <w:rFonts w:hint="eastAsia" w:ascii="宋体" w:hAnsi="宋体" w:cs="宋体"/>
                <w:color w:val="auto"/>
                <w:sz w:val="24"/>
                <w:szCs w:val="24"/>
                <w:highlight w:val="none"/>
                <w:lang w:val="en-US" w:eastAsia="zh-CN"/>
              </w:rPr>
              <w:t>30</w:t>
            </w:r>
          </w:p>
        </w:tc>
        <w:tc>
          <w:tcPr>
            <w:tcW w:w="696" w:type="dxa"/>
            <w:tcBorders>
              <w:bottom w:val="single" w:color="auto" w:sz="4" w:space="0"/>
            </w:tcBorders>
            <w:vAlign w:val="center"/>
          </w:tcPr>
          <w:p>
            <w:pPr>
              <w:keepNext w:val="0"/>
              <w:keepLines w:val="0"/>
              <w:suppressLineNumbers w:val="0"/>
              <w:spacing w:before="0" w:beforeAutospacing="0" w:after="0" w:afterAutospacing="0" w:line="360" w:lineRule="auto"/>
              <w:ind w:left="0" w:leftChars="0" w:right="0" w:rightChars="0"/>
              <w:jc w:val="center"/>
              <w:rPr>
                <w:rFonts w:ascii="宋体" w:hAnsi="宋体" w:cs="宋体"/>
                <w:color w:val="auto"/>
                <w:sz w:val="24"/>
                <w:szCs w:val="24"/>
                <w:highlight w:val="none"/>
              </w:rPr>
            </w:pPr>
          </w:p>
        </w:tc>
        <w:tc>
          <w:tcPr>
            <w:tcW w:w="1422" w:type="dxa"/>
            <w:tcBorders>
              <w:bottom w:val="single" w:color="auto" w:sz="4" w:space="0"/>
            </w:tcBorders>
            <w:vAlign w:val="center"/>
          </w:tcPr>
          <w:p>
            <w:pPr>
              <w:keepNext w:val="0"/>
              <w:keepLines w:val="0"/>
              <w:suppressLineNumbers w:val="0"/>
              <w:spacing w:before="0" w:beforeAutospacing="0" w:after="0" w:afterAutospacing="0" w:line="360" w:lineRule="auto"/>
              <w:ind w:left="0" w:leftChars="0" w:right="0" w:rightChars="0"/>
              <w:jc w:val="center"/>
              <w:rPr>
                <w:rFonts w:ascii="宋体" w:hAnsi="宋体" w:cs="宋体"/>
                <w:color w:val="auto"/>
                <w:sz w:val="24"/>
                <w:szCs w:val="24"/>
                <w:highlight w:val="none"/>
              </w:rPr>
            </w:pPr>
          </w:p>
        </w:tc>
        <w:tc>
          <w:tcPr>
            <w:tcW w:w="5925" w:type="dxa"/>
            <w:tcBorders>
              <w:bottom w:val="single" w:color="auto" w:sz="4" w:space="0"/>
            </w:tcBorders>
            <w:vAlign w:val="center"/>
          </w:tcPr>
          <w:p>
            <w:pPr>
              <w:pStyle w:val="16"/>
              <w:keepNext w:val="0"/>
              <w:keepLines w:val="0"/>
              <w:pageBreakBefore w:val="0"/>
              <w:widowControl w:val="0"/>
              <w:suppressLineNumbers w:val="0"/>
              <w:kinsoku/>
              <w:wordWrap/>
              <w:overflowPunct/>
              <w:topLinePunct w:val="0"/>
              <w:bidi w:val="0"/>
              <w:snapToGrid/>
              <w:spacing w:before="0" w:beforeAutospacing="0" w:after="0" w:afterAutospacing="0" w:line="360" w:lineRule="auto"/>
              <w:ind w:left="0" w:right="0"/>
              <w:textAlignment w:val="auto"/>
              <w:rPr>
                <w:rFonts w:hint="eastAsia" w:hAnsi="宋体" w:eastAsia="宋体" w:cs="宋体"/>
                <w:color w:val="auto"/>
                <w:highlight w:val="none"/>
                <w:lang w:val="en-US" w:eastAsia="zh-CN"/>
              </w:rPr>
            </w:pPr>
            <w:r>
              <w:rPr>
                <w:rFonts w:hint="eastAsia" w:hAnsi="宋体" w:eastAsia="宋体" w:cs="宋体"/>
                <w:color w:val="auto"/>
                <w:highlight w:val="none"/>
                <w:lang w:val="en-US" w:eastAsia="zh-CN"/>
              </w:rPr>
              <w:t>本项目中如涉及商品包装和快递包装的，其包装需求标准应不低于《关于印发〈商品包装政府采购需求标准(试行)〉、〈快递包装政府采购需求标准(试行)〉的通知》（财办库〔2020〕 123号）规定的包装要求，其他包装需求详见招标文件具体规定。采购单位、中标供应商双方签订合同及验收环节，应包含上述包装要求的条款。</w:t>
            </w:r>
          </w:p>
          <w:p>
            <w:pPr>
              <w:keepNext w:val="0"/>
              <w:keepLines w:val="0"/>
              <w:suppressLineNumbers w:val="0"/>
              <w:spacing w:before="0" w:beforeAutospacing="0" w:after="0" w:afterAutospacing="0" w:line="360" w:lineRule="auto"/>
              <w:ind w:left="0" w:leftChars="0" w:right="0" w:rightChars="0"/>
              <w:rPr>
                <w:rFonts w:ascii="宋体" w:hAns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pPr>
              <w:spacing w:line="360" w:lineRule="auto"/>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31</w:t>
            </w:r>
          </w:p>
        </w:tc>
        <w:tc>
          <w:tcPr>
            <w:tcW w:w="696" w:type="dxa"/>
            <w:tcBorders>
              <w:bottom w:val="single" w:color="auto" w:sz="4" w:space="0"/>
            </w:tcBorders>
            <w:vAlign w:val="center"/>
          </w:tcPr>
          <w:p>
            <w:pPr>
              <w:spacing w:line="360" w:lineRule="auto"/>
              <w:jc w:val="center"/>
              <w:rPr>
                <w:rFonts w:ascii="宋体" w:hAnsi="宋体" w:cs="宋体"/>
                <w:color w:val="auto"/>
                <w:sz w:val="24"/>
                <w:szCs w:val="24"/>
                <w:highlight w:val="none"/>
              </w:rPr>
            </w:pPr>
          </w:p>
        </w:tc>
        <w:tc>
          <w:tcPr>
            <w:tcW w:w="1422" w:type="dxa"/>
            <w:tcBorders>
              <w:bottom w:val="single" w:color="auto" w:sz="4" w:space="0"/>
            </w:tcBorders>
            <w:vAlign w:val="center"/>
          </w:tcPr>
          <w:p>
            <w:pPr>
              <w:spacing w:line="360" w:lineRule="auto"/>
              <w:jc w:val="center"/>
              <w:rPr>
                <w:rFonts w:ascii="宋体" w:hAnsi="宋体" w:cs="宋体"/>
                <w:color w:val="auto"/>
                <w:sz w:val="24"/>
                <w:szCs w:val="24"/>
                <w:highlight w:val="none"/>
              </w:rPr>
            </w:pPr>
          </w:p>
        </w:tc>
        <w:tc>
          <w:tcPr>
            <w:tcW w:w="5925" w:type="dxa"/>
            <w:tcBorders>
              <w:bottom w:val="single" w:color="auto" w:sz="4" w:space="0"/>
            </w:tcBorders>
            <w:vAlign w:val="center"/>
          </w:tcPr>
          <w:p>
            <w:pPr>
              <w:tabs>
                <w:tab w:val="left" w:pos="5130"/>
              </w:tabs>
              <w:spacing w:line="360" w:lineRule="auto"/>
              <w:ind w:firstLine="482" w:firstLineChars="200"/>
              <w:rPr>
                <w:rFonts w:ascii="宋体" w:hAnsi="宋体" w:cs="宋体"/>
                <w:color w:val="auto"/>
                <w:sz w:val="24"/>
                <w:szCs w:val="24"/>
                <w:highlight w:val="none"/>
              </w:rPr>
            </w:pPr>
            <w:r>
              <w:rPr>
                <w:rFonts w:hint="eastAsia" w:ascii="宋体" w:hAnsi="宋体" w:cs="宋体"/>
                <w:b/>
                <w:bCs/>
                <w:color w:val="auto"/>
                <w:sz w:val="24"/>
                <w:szCs w:val="24"/>
                <w:highlight w:val="none"/>
              </w:rPr>
              <w:t>*</w:t>
            </w:r>
            <w:r>
              <w:rPr>
                <w:rFonts w:ascii="宋体" w:hAnsi="宋体" w:cs="宋体"/>
                <w:b/>
                <w:bCs/>
                <w:color w:val="auto"/>
                <w:sz w:val="24"/>
                <w:szCs w:val="24"/>
                <w:highlight w:val="none"/>
              </w:rPr>
              <w:t>2</w:t>
            </w:r>
            <w:r>
              <w:rPr>
                <w:rFonts w:hint="eastAsia" w:ascii="宋体" w:hAnsi="宋体" w:cs="宋体"/>
                <w:b/>
                <w:bCs/>
                <w:color w:val="auto"/>
                <w:sz w:val="24"/>
                <w:szCs w:val="24"/>
                <w:highlight w:val="none"/>
              </w:rPr>
              <w:t>、招标文件中涉及提供检测或检验报告复印件的，中标后，使用单位</w:t>
            </w:r>
            <w:r>
              <w:rPr>
                <w:rFonts w:hint="eastAsia" w:ascii="宋体" w:hAnsi="宋体" w:cs="宋体"/>
                <w:b/>
                <w:bCs/>
                <w:color w:val="auto"/>
                <w:sz w:val="24"/>
                <w:szCs w:val="24"/>
                <w:highlight w:val="none"/>
              </w:rPr>
              <w:t>若</w:t>
            </w:r>
            <w:r>
              <w:rPr>
                <w:rFonts w:hint="eastAsia" w:ascii="宋体" w:hAnsi="宋体" w:cs="宋体"/>
                <w:b/>
                <w:bCs/>
                <w:color w:val="auto"/>
                <w:sz w:val="24"/>
                <w:szCs w:val="24"/>
                <w:highlight w:val="none"/>
              </w:rPr>
              <w:t>要求中标供应商提供检测或检验报告原件予以核对，中标供应商应在3个工作日内提供检测或检验报告原件。如中标供应商无法提供检测或检验报告原件，或者发现中标供应商提供的检测或检验报告原件与复印件不一致，或者经查询发现检测或检验报告存在造假情形的，将取消中标供应商资格并列入不良行为记录，投标人应对此作出书面承诺并加盖单位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pPr>
              <w:spacing w:line="360" w:lineRule="auto"/>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32</w:t>
            </w:r>
          </w:p>
        </w:tc>
        <w:tc>
          <w:tcPr>
            <w:tcW w:w="696" w:type="dxa"/>
            <w:tcBorders>
              <w:bottom w:val="single" w:color="auto" w:sz="4" w:space="0"/>
            </w:tcBorders>
            <w:vAlign w:val="center"/>
          </w:tcPr>
          <w:p>
            <w:pPr>
              <w:spacing w:line="360" w:lineRule="auto"/>
              <w:jc w:val="center"/>
              <w:rPr>
                <w:rFonts w:ascii="宋体" w:hAnsi="宋体" w:cs="宋体"/>
                <w:color w:val="auto"/>
                <w:sz w:val="24"/>
                <w:szCs w:val="24"/>
                <w:highlight w:val="none"/>
              </w:rPr>
            </w:pPr>
          </w:p>
        </w:tc>
        <w:tc>
          <w:tcPr>
            <w:tcW w:w="1422" w:type="dxa"/>
            <w:tcBorders>
              <w:bottom w:val="single" w:color="auto" w:sz="4" w:space="0"/>
            </w:tcBorders>
            <w:vAlign w:val="center"/>
          </w:tcPr>
          <w:p>
            <w:pPr>
              <w:spacing w:line="360" w:lineRule="auto"/>
              <w:jc w:val="center"/>
              <w:rPr>
                <w:rFonts w:ascii="宋体" w:hAnsi="宋体" w:cs="宋体"/>
                <w:color w:val="auto"/>
                <w:sz w:val="24"/>
                <w:szCs w:val="24"/>
                <w:highlight w:val="none"/>
              </w:rPr>
            </w:pPr>
          </w:p>
        </w:tc>
        <w:tc>
          <w:tcPr>
            <w:tcW w:w="5925" w:type="dxa"/>
            <w:tcBorders>
              <w:bottom w:val="single" w:color="auto" w:sz="4" w:space="0"/>
            </w:tcBorders>
            <w:vAlign w:val="center"/>
          </w:tcPr>
          <w:p>
            <w:pPr>
              <w:spacing w:line="360" w:lineRule="auto"/>
              <w:ind w:firstLine="482" w:firstLineChars="200"/>
              <w:rPr>
                <w:rFonts w:ascii="宋体" w:hAnsi="宋体" w:cs="宋体"/>
                <w:color w:val="auto"/>
                <w:sz w:val="24"/>
                <w:szCs w:val="24"/>
                <w:highlight w:val="none"/>
              </w:rPr>
            </w:pPr>
            <w:r>
              <w:rPr>
                <w:rFonts w:hint="eastAsia" w:ascii="宋体" w:hAnsi="宋体"/>
                <w:b/>
                <w:color w:val="auto"/>
                <w:sz w:val="24"/>
                <w:szCs w:val="24"/>
                <w:highlight w:val="none"/>
              </w:rPr>
              <w:t>*1.投标人应在投标文件中提供质量保证期及售后服务方案承诺，并加盖单位公章。承诺至少应包含以下内容①所有货物质量保证期</w:t>
            </w:r>
            <w:r>
              <w:rPr>
                <w:rFonts w:hint="eastAsia" w:ascii="宋体" w:hAnsi="宋体"/>
                <w:b/>
                <w:color w:val="auto"/>
                <w:sz w:val="24"/>
                <w:szCs w:val="24"/>
                <w:highlight w:val="none"/>
              </w:rPr>
              <w:t>至少为5年</w:t>
            </w:r>
            <w:r>
              <w:rPr>
                <w:rFonts w:hint="eastAsia" w:ascii="宋体" w:hAnsi="宋体"/>
                <w:b/>
                <w:color w:val="auto"/>
                <w:sz w:val="24"/>
                <w:szCs w:val="24"/>
                <w:highlight w:val="none"/>
              </w:rPr>
              <w:t>，自最终验收合格之日起算；②所有货物如无特别指明售后服务要求, 投标人到现场的售后服务及技术支持响应时间不能超过2小时；小件货物的修复时间或更换时间不能超过2个小时，大件货物的修复时间或更换时间不能超过24个小时(从提出现场服务要求开始算起)。24小时内不能修复的须提供备用货物；③在质量保证期内，因质量问题而发生损坏或不能进行正常使用时，投标人应免费进行维修或更换；④在质量保证期内，安排至少两名专人与使用单位建立服务联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tcBorders>
              <w:bottom w:val="single" w:color="auto" w:sz="4" w:space="0"/>
            </w:tcBorders>
            <w:vAlign w:val="center"/>
          </w:tcPr>
          <w:p>
            <w:pPr>
              <w:spacing w:line="360" w:lineRule="auto"/>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33</w:t>
            </w:r>
          </w:p>
        </w:tc>
        <w:tc>
          <w:tcPr>
            <w:tcW w:w="696" w:type="dxa"/>
            <w:tcBorders>
              <w:bottom w:val="single" w:color="auto" w:sz="4" w:space="0"/>
            </w:tcBorders>
            <w:vAlign w:val="center"/>
          </w:tcPr>
          <w:p>
            <w:pPr>
              <w:spacing w:line="360" w:lineRule="auto"/>
              <w:jc w:val="center"/>
              <w:rPr>
                <w:rFonts w:ascii="宋体" w:hAnsi="宋体" w:cs="宋体"/>
                <w:color w:val="auto"/>
                <w:sz w:val="24"/>
                <w:szCs w:val="24"/>
                <w:highlight w:val="none"/>
              </w:rPr>
            </w:pPr>
          </w:p>
        </w:tc>
        <w:tc>
          <w:tcPr>
            <w:tcW w:w="1422" w:type="dxa"/>
            <w:tcBorders>
              <w:bottom w:val="single" w:color="auto" w:sz="4" w:space="0"/>
            </w:tcBorders>
            <w:vAlign w:val="center"/>
          </w:tcPr>
          <w:p>
            <w:pPr>
              <w:spacing w:line="360" w:lineRule="auto"/>
              <w:jc w:val="center"/>
              <w:rPr>
                <w:rFonts w:ascii="宋体" w:hAnsi="宋体" w:cs="宋体"/>
                <w:color w:val="auto"/>
                <w:sz w:val="24"/>
                <w:szCs w:val="24"/>
                <w:highlight w:val="none"/>
              </w:rPr>
            </w:pPr>
          </w:p>
        </w:tc>
        <w:tc>
          <w:tcPr>
            <w:tcW w:w="5925" w:type="dxa"/>
            <w:tcBorders>
              <w:bottom w:val="single" w:color="auto" w:sz="4" w:space="0"/>
            </w:tcBorders>
            <w:vAlign w:val="center"/>
          </w:tcPr>
          <w:p>
            <w:pPr>
              <w:spacing w:line="360" w:lineRule="auto"/>
              <w:ind w:firstLine="482" w:firstLineChars="200"/>
              <w:rPr>
                <w:rFonts w:ascii="宋体" w:hAnsi="宋体" w:cs="宋体"/>
                <w:color w:val="auto"/>
                <w:sz w:val="24"/>
                <w:szCs w:val="24"/>
                <w:highlight w:val="none"/>
              </w:rPr>
            </w:pPr>
            <w:r>
              <w:rPr>
                <w:rFonts w:hint="eastAsia" w:ascii="宋体" w:hAnsi="宋体"/>
                <w:b/>
                <w:color w:val="auto"/>
                <w:sz w:val="24"/>
                <w:szCs w:val="24"/>
                <w:highlight w:val="none"/>
              </w:rPr>
              <w:t>*1.投标人须以人民币报价且总报价应含货物费、运至采购单位指定地点的运输费、保险费和伴随服务费（包括产品检验检测）、安装调试（包括安装所需的辅材、配件等）费用、税收及售后服务等可能产生的一切费用，报价方式为指定目的地价。</w:t>
            </w:r>
            <w:r>
              <w:rPr>
                <w:rFonts w:ascii="宋体" w:hAnsi="宋体"/>
                <w:b/>
                <w:color w:val="auto"/>
                <w:sz w:val="24"/>
                <w:szCs w:val="24"/>
                <w:highlight w:val="none"/>
              </w:rPr>
              <w:t>供应商可在分项报价表中详细列出报价，如果所列分项报价不含以上内容，以及缺、漏项的，则视为已含在总价中。</w:t>
            </w:r>
            <w:r>
              <w:rPr>
                <w:rFonts w:hint="eastAsia" w:ascii="宋体" w:hAnsi="宋体"/>
                <w:b/>
                <w:color w:val="auto"/>
                <w:sz w:val="24"/>
                <w:szCs w:val="24"/>
                <w:highlight w:val="none"/>
              </w:rPr>
              <w:t>采购单位不接受有选择的报价</w:t>
            </w:r>
            <w:r>
              <w:rPr>
                <w:rFonts w:ascii="宋体" w:hAnsi="宋体"/>
                <w:b/>
                <w:color w:val="auto"/>
                <w:sz w:val="24"/>
                <w:szCs w:val="24"/>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6" w:type="dxa"/>
            <w:vAlign w:val="center"/>
          </w:tcPr>
          <w:p>
            <w:pPr>
              <w:spacing w:line="360" w:lineRule="auto"/>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34</w:t>
            </w:r>
          </w:p>
        </w:tc>
        <w:tc>
          <w:tcPr>
            <w:tcW w:w="696" w:type="dxa"/>
            <w:vAlign w:val="center"/>
          </w:tcPr>
          <w:p>
            <w:pPr>
              <w:spacing w:line="360" w:lineRule="auto"/>
              <w:jc w:val="center"/>
              <w:rPr>
                <w:rFonts w:ascii="宋体" w:hAnsi="宋体" w:cs="宋体"/>
                <w:color w:val="auto"/>
                <w:sz w:val="24"/>
                <w:szCs w:val="24"/>
                <w:highlight w:val="none"/>
              </w:rPr>
            </w:pPr>
          </w:p>
        </w:tc>
        <w:tc>
          <w:tcPr>
            <w:tcW w:w="1422" w:type="dxa"/>
            <w:vAlign w:val="center"/>
          </w:tcPr>
          <w:p>
            <w:pPr>
              <w:spacing w:line="360" w:lineRule="auto"/>
              <w:jc w:val="center"/>
              <w:rPr>
                <w:rFonts w:ascii="宋体" w:hAnsi="宋体" w:cs="宋体"/>
                <w:color w:val="auto"/>
                <w:sz w:val="24"/>
                <w:szCs w:val="24"/>
                <w:highlight w:val="none"/>
              </w:rPr>
            </w:pPr>
          </w:p>
        </w:tc>
        <w:tc>
          <w:tcPr>
            <w:tcW w:w="5925" w:type="dxa"/>
            <w:vAlign w:val="center"/>
          </w:tcPr>
          <w:p>
            <w:pPr>
              <w:spacing w:line="360" w:lineRule="auto"/>
              <w:rPr>
                <w:rFonts w:ascii="宋体" w:hAnsi="宋体" w:cs="宋体"/>
                <w:color w:val="auto"/>
                <w:sz w:val="24"/>
                <w:szCs w:val="24"/>
                <w:highlight w:val="none"/>
              </w:rPr>
            </w:pPr>
            <w:r>
              <w:rPr>
                <w:rFonts w:hint="eastAsia" w:ascii="宋体" w:hAnsi="宋体"/>
                <w:b/>
                <w:color w:val="auto"/>
                <w:sz w:val="24"/>
                <w:szCs w:val="24"/>
                <w:highlight w:val="none"/>
              </w:rPr>
              <w:t>*2.本项目采购预算为人民币375万元，投标人的报价不得超过采购预算，否则将按无效投标处理。</w:t>
            </w:r>
          </w:p>
        </w:tc>
      </w:tr>
    </w:tbl>
    <w:p>
      <w:pPr>
        <w:spacing w:line="360" w:lineRule="auto"/>
        <w:rPr>
          <w:rFonts w:ascii="宋体" w:hAnsi="宋体" w:cs="宋体"/>
          <w:bCs/>
          <w:color w:val="auto"/>
          <w:sz w:val="24"/>
          <w:szCs w:val="24"/>
          <w:highlight w:val="none"/>
        </w:rPr>
      </w:pPr>
      <w:r>
        <w:rPr>
          <w:rFonts w:hint="eastAsia" w:ascii="宋体" w:hAnsi="宋体" w:cs="宋体"/>
          <w:bCs/>
          <w:color w:val="auto"/>
          <w:sz w:val="24"/>
          <w:szCs w:val="24"/>
          <w:highlight w:val="none"/>
        </w:rPr>
        <w:t>备注：由于编排顺序混乱而导致投标文件被误读或漏读，该投标人的投标可能被视为无效投标或承担不利的评标结果。</w:t>
      </w:r>
    </w:p>
    <w:p>
      <w:pPr>
        <w:spacing w:line="360" w:lineRule="auto"/>
        <w:jc w:val="center"/>
        <w:rPr>
          <w:rFonts w:ascii="宋体" w:hAnsi="宋体" w:cs="宋体"/>
          <w:color w:val="auto"/>
          <w:sz w:val="32"/>
          <w:szCs w:val="32"/>
          <w:highlight w:val="none"/>
        </w:rPr>
      </w:pPr>
    </w:p>
    <w:p>
      <w:pPr>
        <w:spacing w:line="360" w:lineRule="auto"/>
        <w:jc w:val="center"/>
        <w:rPr>
          <w:rFonts w:ascii="宋体" w:hAnsi="宋体" w:cs="宋体"/>
          <w:color w:val="auto"/>
          <w:sz w:val="32"/>
          <w:szCs w:val="32"/>
          <w:highlight w:val="none"/>
        </w:rPr>
      </w:pPr>
    </w:p>
    <w:p>
      <w:pPr>
        <w:spacing w:line="360" w:lineRule="auto"/>
        <w:jc w:val="center"/>
        <w:rPr>
          <w:rFonts w:ascii="宋体" w:hAnsi="宋体" w:cs="宋体"/>
          <w:color w:val="auto"/>
          <w:sz w:val="32"/>
          <w:szCs w:val="32"/>
          <w:highlight w:val="none"/>
        </w:rPr>
      </w:pPr>
    </w:p>
    <w:p>
      <w:pPr>
        <w:spacing w:line="360" w:lineRule="auto"/>
        <w:jc w:val="center"/>
        <w:rPr>
          <w:rFonts w:ascii="宋体" w:hAnsi="宋体" w:cs="宋体"/>
          <w:color w:val="auto"/>
          <w:sz w:val="32"/>
          <w:szCs w:val="32"/>
          <w:highlight w:val="none"/>
        </w:rPr>
      </w:pPr>
    </w:p>
    <w:p>
      <w:pPr>
        <w:spacing w:line="360" w:lineRule="auto"/>
        <w:jc w:val="center"/>
        <w:rPr>
          <w:rFonts w:ascii="宋体" w:hAnsi="宋体" w:cs="宋体"/>
          <w:color w:val="auto"/>
          <w:sz w:val="32"/>
          <w:szCs w:val="32"/>
          <w:highlight w:val="none"/>
        </w:rPr>
      </w:pPr>
    </w:p>
    <w:p>
      <w:pPr>
        <w:spacing w:line="360" w:lineRule="auto"/>
        <w:jc w:val="center"/>
        <w:rPr>
          <w:rFonts w:ascii="宋体" w:hAnsi="宋体" w:cs="宋体"/>
          <w:color w:val="auto"/>
          <w:sz w:val="32"/>
          <w:szCs w:val="32"/>
          <w:highlight w:val="none"/>
        </w:rPr>
      </w:pPr>
    </w:p>
    <w:p>
      <w:pPr>
        <w:spacing w:line="360" w:lineRule="auto"/>
        <w:jc w:val="center"/>
        <w:rPr>
          <w:rFonts w:ascii="宋体" w:hAnsi="宋体" w:cs="宋体"/>
          <w:color w:val="auto"/>
          <w:sz w:val="32"/>
          <w:szCs w:val="32"/>
          <w:highlight w:val="none"/>
        </w:rPr>
      </w:pPr>
    </w:p>
    <w:p>
      <w:pPr>
        <w:spacing w:line="360" w:lineRule="auto"/>
        <w:jc w:val="center"/>
        <w:rPr>
          <w:rFonts w:ascii="宋体" w:hAnsi="宋体" w:cs="宋体"/>
          <w:color w:val="auto"/>
          <w:sz w:val="32"/>
          <w:szCs w:val="32"/>
          <w:highlight w:val="none"/>
        </w:rPr>
      </w:pPr>
    </w:p>
    <w:p>
      <w:pPr>
        <w:pStyle w:val="2"/>
        <w:rPr>
          <w:rFonts w:ascii="宋体" w:hAnsi="宋体" w:cs="宋体"/>
          <w:color w:val="auto"/>
          <w:sz w:val="32"/>
          <w:szCs w:val="32"/>
          <w:highlight w:val="none"/>
        </w:rPr>
      </w:pPr>
    </w:p>
    <w:p>
      <w:pPr>
        <w:rPr>
          <w:rFonts w:ascii="宋体" w:hAnsi="宋体" w:cs="宋体"/>
          <w:color w:val="auto"/>
          <w:sz w:val="32"/>
          <w:szCs w:val="32"/>
          <w:highlight w:val="none"/>
        </w:rPr>
      </w:pPr>
    </w:p>
    <w:p>
      <w:pPr>
        <w:pStyle w:val="2"/>
        <w:rPr>
          <w:rFonts w:ascii="宋体" w:hAnsi="宋体" w:cs="宋体"/>
          <w:color w:val="auto"/>
          <w:sz w:val="32"/>
          <w:szCs w:val="32"/>
          <w:highlight w:val="none"/>
        </w:rPr>
      </w:pPr>
    </w:p>
    <w:p>
      <w:pPr>
        <w:rPr>
          <w:rFonts w:ascii="宋体" w:hAnsi="宋体" w:cs="宋体"/>
          <w:color w:val="auto"/>
          <w:sz w:val="32"/>
          <w:szCs w:val="32"/>
          <w:highlight w:val="none"/>
        </w:rPr>
      </w:pPr>
    </w:p>
    <w:p>
      <w:pPr>
        <w:pStyle w:val="2"/>
        <w:rPr>
          <w:rFonts w:ascii="宋体" w:hAnsi="宋体" w:cs="宋体"/>
          <w:color w:val="auto"/>
          <w:sz w:val="32"/>
          <w:szCs w:val="32"/>
          <w:highlight w:val="none"/>
        </w:rPr>
      </w:pPr>
    </w:p>
    <w:p>
      <w:pPr>
        <w:rPr>
          <w:rFonts w:ascii="宋体" w:hAnsi="宋体" w:cs="宋体"/>
          <w:color w:val="auto"/>
          <w:sz w:val="32"/>
          <w:szCs w:val="32"/>
          <w:highlight w:val="none"/>
        </w:rPr>
      </w:pPr>
    </w:p>
    <w:p>
      <w:pPr>
        <w:spacing w:line="360" w:lineRule="auto"/>
        <w:jc w:val="center"/>
        <w:rPr>
          <w:rFonts w:ascii="宋体" w:hAnsi="宋体" w:cs="宋体"/>
          <w:b/>
          <w:color w:val="auto"/>
          <w:sz w:val="32"/>
          <w:szCs w:val="32"/>
          <w:highlight w:val="none"/>
          <w:u w:val="single"/>
        </w:rPr>
      </w:pPr>
      <w:r>
        <w:rPr>
          <w:rFonts w:hint="eastAsia" w:ascii="宋体" w:hAnsi="宋体" w:cs="宋体"/>
          <w:color w:val="auto"/>
          <w:sz w:val="32"/>
          <w:szCs w:val="32"/>
          <w:highlight w:val="none"/>
        </w:rPr>
        <w:t>投标人须知前附表3：评标方法、评标标准、定标原则</w:t>
      </w:r>
    </w:p>
    <w:tbl>
      <w:tblPr>
        <w:tblStyle w:val="12"/>
        <w:tblW w:w="0" w:type="auto"/>
        <w:tblInd w:w="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00" w:type="dxa"/>
            <w:tcBorders>
              <w:top w:val="single" w:color="auto" w:sz="4" w:space="0"/>
              <w:left w:val="single" w:color="auto" w:sz="4" w:space="0"/>
              <w:bottom w:val="single" w:color="auto" w:sz="4" w:space="0"/>
              <w:right w:val="single" w:color="auto" w:sz="4" w:space="0"/>
            </w:tcBorders>
          </w:tcPr>
          <w:p>
            <w:pPr>
              <w:pStyle w:val="3"/>
              <w:numPr>
                <w:ilvl w:val="0"/>
                <w:numId w:val="1"/>
              </w:numPr>
              <w:snapToGrid w:val="0"/>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评标方法：</w:t>
            </w:r>
          </w:p>
          <w:p>
            <w:pPr>
              <w:pStyle w:val="3"/>
              <w:snapToGrid w:val="0"/>
              <w:spacing w:line="360" w:lineRule="auto"/>
              <w:ind w:left="480" w:firstLine="0"/>
              <w:rPr>
                <w:rFonts w:ascii="宋体" w:hAnsi="宋体" w:cs="宋体"/>
                <w:color w:val="auto"/>
                <w:sz w:val="24"/>
                <w:szCs w:val="24"/>
                <w:highlight w:val="none"/>
              </w:rPr>
            </w:pPr>
            <w:r>
              <w:rPr>
                <w:rFonts w:hint="eastAsia" w:ascii="宋体" w:hAnsi="宋体" w:cs="宋体"/>
                <w:b/>
                <w:color w:val="auto"/>
                <w:sz w:val="24"/>
                <w:szCs w:val="24"/>
                <w:highlight w:val="none"/>
              </w:rPr>
              <w:fldChar w:fldCharType="begin"/>
            </w:r>
            <w:r>
              <w:rPr>
                <w:rFonts w:hint="eastAsia" w:ascii="宋体" w:hAnsi="宋体" w:cs="宋体"/>
                <w:b/>
                <w:color w:val="auto"/>
                <w:sz w:val="24"/>
                <w:szCs w:val="24"/>
                <w:highlight w:val="none"/>
              </w:rPr>
              <w:instrText xml:space="preserve"> eq \o\ac(</w:instrText>
            </w:r>
            <w:r>
              <w:rPr>
                <w:rFonts w:hint="eastAsia" w:ascii="宋体" w:hAnsi="宋体" w:cs="宋体"/>
                <w:b/>
                <w:color w:val="auto"/>
                <w:position w:val="-4"/>
                <w:sz w:val="36"/>
                <w:szCs w:val="24"/>
                <w:highlight w:val="none"/>
              </w:rPr>
              <w:instrText xml:space="preserve">□</w:instrText>
            </w:r>
            <w:r>
              <w:rPr>
                <w:rFonts w:hint="eastAsia" w:ascii="宋体" w:hAnsi="宋体" w:cs="宋体"/>
                <w:b/>
                <w:color w:val="auto"/>
                <w:sz w:val="24"/>
                <w:szCs w:val="24"/>
                <w:highlight w:val="none"/>
              </w:rPr>
              <w:instrText xml:space="preserve">,√)</w:instrText>
            </w:r>
            <w:r>
              <w:rPr>
                <w:rFonts w:hint="eastAsia" w:ascii="宋体" w:hAnsi="宋体" w:cs="宋体"/>
                <w:b/>
                <w:color w:val="auto"/>
                <w:sz w:val="24"/>
                <w:szCs w:val="24"/>
                <w:highlight w:val="none"/>
              </w:rPr>
              <w:fldChar w:fldCharType="end"/>
            </w:r>
            <w:r>
              <w:rPr>
                <w:rFonts w:hint="eastAsia" w:ascii="宋体" w:hAnsi="宋体" w:cs="宋体"/>
                <w:color w:val="auto"/>
                <w:sz w:val="24"/>
                <w:szCs w:val="24"/>
                <w:highlight w:val="none"/>
              </w:rPr>
              <w:t xml:space="preserve">综合评分法  □ 最低评标价法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00" w:type="dxa"/>
            <w:tcBorders>
              <w:top w:val="single" w:color="auto" w:sz="4" w:space="0"/>
              <w:left w:val="single" w:color="auto" w:sz="4" w:space="0"/>
              <w:bottom w:val="single" w:color="auto" w:sz="4" w:space="0"/>
              <w:right w:val="single" w:color="auto" w:sz="4" w:space="0"/>
            </w:tcBorders>
          </w:tcPr>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二、评标标准：</w:t>
            </w:r>
          </w:p>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（一）具体的评标标准、权重。</w:t>
            </w:r>
          </w:p>
          <w:p>
            <w:pPr>
              <w:pStyle w:val="3"/>
              <w:snapToGrid w:val="0"/>
              <w:spacing w:line="360" w:lineRule="auto"/>
              <w:ind w:firstLine="720" w:firstLineChars="300"/>
              <w:rPr>
                <w:rFonts w:ascii="宋体" w:hAnsi="宋体" w:cs="宋体"/>
                <w:color w:val="auto"/>
                <w:sz w:val="24"/>
                <w:szCs w:val="24"/>
                <w:highlight w:val="none"/>
              </w:rPr>
            </w:pPr>
            <w:r>
              <w:rPr>
                <w:rFonts w:hint="eastAsia" w:ascii="宋体" w:hAnsi="宋体" w:cs="宋体"/>
                <w:color w:val="auto"/>
                <w:sz w:val="24"/>
                <w:szCs w:val="24"/>
                <w:highlight w:val="none"/>
              </w:rPr>
              <w:t>详见附件</w:t>
            </w:r>
          </w:p>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（二）推荐中标候选供应商名单。</w:t>
            </w:r>
          </w:p>
          <w:p>
            <w:pPr>
              <w:pStyle w:val="3"/>
              <w:snapToGrid w:val="0"/>
              <w:spacing w:line="360" w:lineRule="auto"/>
              <w:ind w:firstLine="360" w:firstLineChars="150"/>
              <w:rPr>
                <w:rFonts w:ascii="宋体" w:hAnsi="宋体" w:cs="宋体"/>
                <w:color w:val="auto"/>
                <w:sz w:val="24"/>
                <w:szCs w:val="24"/>
                <w:highlight w:val="none"/>
              </w:rPr>
            </w:pPr>
            <w:r>
              <w:rPr>
                <w:rFonts w:hint="eastAsia" w:ascii="宋体" w:hAnsi="宋体" w:cs="宋体"/>
                <w:color w:val="auto"/>
                <w:sz w:val="24"/>
                <w:szCs w:val="24"/>
                <w:highlight w:val="none"/>
              </w:rPr>
              <w:t>1、中标候选供应商数量：</w:t>
            </w:r>
            <w:r>
              <w:rPr>
                <w:rFonts w:hint="eastAsia" w:ascii="宋体" w:hAnsi="宋体" w:cs="宋体"/>
                <w:color w:val="auto"/>
                <w:sz w:val="24"/>
                <w:szCs w:val="24"/>
                <w:highlight w:val="none"/>
                <w:u w:val="single"/>
              </w:rPr>
              <w:t xml:space="preserve"> 3  </w:t>
            </w:r>
            <w:r>
              <w:rPr>
                <w:rFonts w:hint="eastAsia" w:ascii="宋体" w:hAnsi="宋体" w:cs="宋体"/>
                <w:color w:val="auto"/>
                <w:sz w:val="24"/>
                <w:szCs w:val="24"/>
                <w:highlight w:val="none"/>
              </w:rPr>
              <w:t>个。</w:t>
            </w:r>
          </w:p>
          <w:p>
            <w:pPr>
              <w:pStyle w:val="3"/>
              <w:snapToGrid w:val="0"/>
              <w:spacing w:line="360" w:lineRule="auto"/>
              <w:ind w:firstLine="360" w:firstLineChars="150"/>
              <w:rPr>
                <w:rFonts w:ascii="宋体" w:hAnsi="宋体" w:cs="宋体"/>
                <w:color w:val="auto"/>
                <w:sz w:val="24"/>
                <w:szCs w:val="24"/>
                <w:highlight w:val="none"/>
              </w:rPr>
            </w:pPr>
            <w:r>
              <w:rPr>
                <w:rFonts w:hint="eastAsia" w:ascii="宋体" w:hAnsi="宋体" w:cs="宋体"/>
                <w:color w:val="auto"/>
                <w:sz w:val="24"/>
                <w:szCs w:val="24"/>
                <w:highlight w:val="none"/>
              </w:rPr>
              <w:t>2、中标候选供应商排列顺序。经投标文件初审、澄清有关问题、比较与评价评标程序后，按以下办法推荐中标候选供应商名单的排列顺序（请按采购项目的评标方法从以下两项中选择一项打“√”）：</w:t>
            </w:r>
          </w:p>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 xml:space="preserve">    □采用最低评标价法的，按投标报价由低到高顺序排列。投标报价相同的，按技术指标优劣顺序排列。</w:t>
            </w:r>
          </w:p>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 xml:space="preserve">    </w:t>
            </w:r>
            <w:r>
              <w:rPr>
                <w:rFonts w:hint="eastAsia" w:ascii="宋体" w:hAnsi="宋体" w:cs="宋体"/>
                <w:b/>
                <w:color w:val="auto"/>
                <w:sz w:val="24"/>
                <w:szCs w:val="24"/>
                <w:highlight w:val="none"/>
              </w:rPr>
              <w:fldChar w:fldCharType="begin"/>
            </w:r>
            <w:r>
              <w:rPr>
                <w:rFonts w:hint="eastAsia" w:ascii="宋体" w:hAnsi="宋体" w:cs="宋体"/>
                <w:b/>
                <w:color w:val="auto"/>
                <w:sz w:val="24"/>
                <w:szCs w:val="24"/>
                <w:highlight w:val="none"/>
              </w:rPr>
              <w:instrText xml:space="preserve"> eq \o\ac(</w:instrText>
            </w:r>
            <w:r>
              <w:rPr>
                <w:rFonts w:hint="eastAsia" w:ascii="宋体" w:hAnsi="宋体" w:cs="宋体"/>
                <w:b/>
                <w:color w:val="auto"/>
                <w:position w:val="-4"/>
                <w:sz w:val="36"/>
                <w:szCs w:val="24"/>
                <w:highlight w:val="none"/>
              </w:rPr>
              <w:instrText xml:space="preserve">□</w:instrText>
            </w:r>
            <w:r>
              <w:rPr>
                <w:rFonts w:hint="eastAsia" w:ascii="宋体" w:hAnsi="宋体" w:cs="宋体"/>
                <w:b/>
                <w:color w:val="auto"/>
                <w:sz w:val="24"/>
                <w:szCs w:val="24"/>
                <w:highlight w:val="none"/>
              </w:rPr>
              <w:instrText xml:space="preserve">,√)</w:instrText>
            </w:r>
            <w:r>
              <w:rPr>
                <w:rFonts w:hint="eastAsia" w:ascii="宋体" w:hAnsi="宋体" w:cs="宋体"/>
                <w:b/>
                <w:color w:val="auto"/>
                <w:sz w:val="24"/>
                <w:szCs w:val="24"/>
                <w:highlight w:val="none"/>
              </w:rPr>
              <w:fldChar w:fldCharType="end"/>
            </w:r>
            <w:r>
              <w:rPr>
                <w:rFonts w:hint="eastAsia" w:ascii="宋体" w:hAnsi="宋体" w:cs="宋体"/>
                <w:color w:val="auto"/>
                <w:sz w:val="24"/>
                <w:szCs w:val="24"/>
                <w:highlight w:val="none"/>
              </w:rPr>
              <w:t>采用综合评分法的，按评审后得分由高到低顺序排列。得分相同的，按投标报价由低到高顺序排列。得分且投标报价相同的，按技术指标优劣顺序排列。</w:t>
            </w:r>
          </w:p>
          <w:p>
            <w:pPr>
              <w:pStyle w:val="8"/>
              <w:spacing w:after="0" w:line="360" w:lineRule="auto"/>
              <w:ind w:left="0" w:firstLine="360" w:firstLineChars="150"/>
              <w:rPr>
                <w:rFonts w:ascii="宋体" w:hAnsi="宋体" w:cs="宋体"/>
                <w:color w:val="auto"/>
                <w:sz w:val="24"/>
                <w:szCs w:val="24"/>
                <w:highlight w:val="none"/>
              </w:rPr>
            </w:pPr>
            <w:r>
              <w:rPr>
                <w:rFonts w:hint="eastAsia" w:ascii="宋体" w:hAnsi="宋体" w:cs="宋体"/>
                <w:color w:val="auto"/>
                <w:sz w:val="24"/>
                <w:szCs w:val="24"/>
                <w:highlight w:val="none"/>
              </w:rPr>
              <w:t>3、关于同一品牌产品投标的相关规定</w:t>
            </w:r>
          </w:p>
          <w:p>
            <w:pPr>
              <w:pStyle w:val="8"/>
              <w:spacing w:after="0" w:line="360" w:lineRule="auto"/>
              <w:ind w:left="0" w:firstLine="360" w:firstLineChars="150"/>
              <w:rPr>
                <w:rFonts w:ascii="宋体" w:hAnsi="宋体" w:cs="宋体"/>
                <w:color w:val="auto"/>
                <w:sz w:val="24"/>
                <w:szCs w:val="24"/>
                <w:highlight w:val="none"/>
              </w:rPr>
            </w:pPr>
            <w:r>
              <w:rPr>
                <w:rFonts w:hint="eastAsia" w:ascii="宋体" w:hAnsi="宋体" w:cs="宋体"/>
                <w:color w:val="auto"/>
                <w:sz w:val="24"/>
                <w:szCs w:val="24"/>
                <w:highlight w:val="none"/>
              </w:rPr>
              <w:t>如果有多家投标人以同一品牌的产品参加投标，只能视为一家。</w:t>
            </w:r>
          </w:p>
          <w:p>
            <w:pPr>
              <w:spacing w:line="360" w:lineRule="auto"/>
              <w:ind w:firstLine="360" w:firstLineChars="150"/>
              <w:rPr>
                <w:rFonts w:ascii="宋体" w:hAnsi="宋体" w:cs="宋体"/>
                <w:color w:val="auto"/>
                <w:sz w:val="24"/>
                <w:szCs w:val="24"/>
                <w:highlight w:val="none"/>
              </w:rPr>
            </w:pPr>
            <w:r>
              <w:rPr>
                <w:rFonts w:hint="eastAsia" w:ascii="宋体" w:hAnsi="宋体" w:cs="宋体"/>
                <w:color w:val="auto"/>
                <w:sz w:val="24"/>
                <w:szCs w:val="24"/>
                <w:highlight w:val="none"/>
              </w:rPr>
              <w:t>采用</w:t>
            </w:r>
            <w:r>
              <w:rPr>
                <w:color w:val="auto"/>
                <w:highlight w:val="none"/>
              </w:rPr>
              <w:fldChar w:fldCharType="begin"/>
            </w:r>
            <w:r>
              <w:rPr>
                <w:color w:val="auto"/>
                <w:highlight w:val="none"/>
              </w:rPr>
              <w:instrText xml:space="preserve"> HYPERLINK "http://lilun.caigou2003.com/recijiedu/2365668.html" \t "_blank" </w:instrText>
            </w:r>
            <w:r>
              <w:rPr>
                <w:color w:val="auto"/>
                <w:highlight w:val="none"/>
              </w:rPr>
              <w:fldChar w:fldCharType="separate"/>
            </w:r>
            <w:r>
              <w:rPr>
                <w:rFonts w:hint="eastAsia" w:ascii="宋体" w:hAnsi="宋体" w:cs="宋体"/>
                <w:color w:val="auto"/>
                <w:sz w:val="24"/>
                <w:szCs w:val="24"/>
                <w:highlight w:val="none"/>
              </w:rPr>
              <w:t>最低评标价法</w: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的采购项目，提供相同品牌产品的不同投标人参加同一合同项下投标的，以其中通过资格审查、符合性审查且报价最低的参加评标；报价相同的，由采购单位委托</w:t>
            </w:r>
            <w:r>
              <w:rPr>
                <w:color w:val="auto"/>
                <w:highlight w:val="none"/>
              </w:rPr>
              <w:fldChar w:fldCharType="begin"/>
            </w:r>
            <w:r>
              <w:rPr>
                <w:color w:val="auto"/>
                <w:highlight w:val="none"/>
              </w:rPr>
              <w:instrText xml:space="preserve"> HYPERLINK "http://lilun.caigou2003.com/recijiedu/2539165.html" \t "_blank" </w:instrText>
            </w:r>
            <w:r>
              <w:rPr>
                <w:color w:val="auto"/>
                <w:highlight w:val="none"/>
              </w:rPr>
              <w:fldChar w:fldCharType="separate"/>
            </w:r>
            <w:r>
              <w:rPr>
                <w:rFonts w:hint="eastAsia" w:ascii="宋体" w:hAnsi="宋体" w:cs="宋体"/>
                <w:color w:val="auto"/>
                <w:sz w:val="24"/>
                <w:szCs w:val="24"/>
                <w:highlight w:val="none"/>
              </w:rPr>
              <w:t>评标委员会</w: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按照招标文件规定的方式确定一个参加评标的投标人，招标文件未规定的采取随机抽取方式确定，其他投标无效。</w:t>
            </w:r>
          </w:p>
          <w:p>
            <w:pPr>
              <w:spacing w:line="360" w:lineRule="auto"/>
              <w:ind w:firstLine="324"/>
              <w:rPr>
                <w:rFonts w:ascii="宋体" w:hAnsi="宋体" w:cs="宋体"/>
                <w:color w:val="auto"/>
                <w:sz w:val="24"/>
                <w:szCs w:val="24"/>
                <w:highlight w:val="none"/>
              </w:rPr>
            </w:pPr>
            <w:r>
              <w:rPr>
                <w:rFonts w:hint="eastAsia" w:ascii="宋体" w:hAnsi="宋体" w:cs="宋体"/>
                <w:color w:val="auto"/>
                <w:sz w:val="24"/>
                <w:szCs w:val="24"/>
                <w:highlight w:val="none"/>
              </w:rPr>
              <w:t>使用</w:t>
            </w:r>
            <w:r>
              <w:rPr>
                <w:color w:val="auto"/>
                <w:highlight w:val="none"/>
              </w:rPr>
              <w:fldChar w:fldCharType="begin"/>
            </w:r>
            <w:r>
              <w:rPr>
                <w:color w:val="auto"/>
                <w:highlight w:val="none"/>
              </w:rPr>
              <w:instrText xml:space="preserve"> HYPERLINK "http://lilun.caigou2003.com/recijiedu/2365667.html" \t "_blank" </w:instrText>
            </w:r>
            <w:r>
              <w:rPr>
                <w:color w:val="auto"/>
                <w:highlight w:val="none"/>
              </w:rPr>
              <w:fldChar w:fldCharType="separate"/>
            </w:r>
            <w:r>
              <w:rPr>
                <w:rFonts w:hint="eastAsia" w:ascii="宋体" w:hAnsi="宋体" w:cs="宋体"/>
                <w:color w:val="auto"/>
                <w:sz w:val="24"/>
                <w:szCs w:val="24"/>
                <w:highlight w:val="none"/>
              </w:rPr>
              <w:t>综合评分法</w: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的采购项目，提供相同品牌产品且通过资格审查、符合性审查的不同投标人参加同一合同项下投标的，按一家投标人计算，评审后得分最高的同品牌投标人获得中标供应商推荐资格；评审得分相同的，由采购单位委托评标委员会按照招标文件规定的方式确定一个投标人获得中标供应商推荐资格，招标文件未规定的采取随机抽取方式确定，其他同品牌投标人不作为中标候选人。</w:t>
            </w:r>
          </w:p>
          <w:p>
            <w:pPr>
              <w:pStyle w:val="3"/>
              <w:snapToGrid w:val="0"/>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非单一产品采购项目，采购单位应当根据采购项目技术构成、产品价格比重等合理确定核心产品，并在招标文件中载明。多家投标人提供的核心产品品牌相同的，按前两款规定处理。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00" w:type="dxa"/>
            <w:tcBorders>
              <w:top w:val="single" w:color="auto" w:sz="4" w:space="0"/>
              <w:left w:val="single" w:color="auto" w:sz="4" w:space="0"/>
              <w:bottom w:val="single" w:color="auto" w:sz="4" w:space="0"/>
              <w:right w:val="single" w:color="auto" w:sz="4" w:space="0"/>
            </w:tcBorders>
          </w:tcPr>
          <w:p>
            <w:pPr>
              <w:pStyle w:val="3"/>
              <w:snapToGrid w:val="0"/>
              <w:spacing w:line="360" w:lineRule="auto"/>
              <w:ind w:firstLine="0"/>
              <w:rPr>
                <w:rFonts w:ascii="宋体" w:hAnsi="宋体" w:cs="宋体"/>
                <w:color w:val="auto"/>
                <w:sz w:val="24"/>
                <w:szCs w:val="24"/>
                <w:highlight w:val="none"/>
              </w:rPr>
            </w:pPr>
            <w:r>
              <w:rPr>
                <w:rFonts w:hint="eastAsia" w:ascii="宋体" w:hAnsi="宋体" w:cs="宋体"/>
                <w:color w:val="auto"/>
                <w:sz w:val="24"/>
                <w:szCs w:val="24"/>
                <w:highlight w:val="none"/>
              </w:rPr>
              <w:t>三、定标原则（确定中标供应商数量：</w:t>
            </w:r>
            <w:r>
              <w:rPr>
                <w:rFonts w:hint="eastAsia" w:ascii="宋体" w:hAnsi="宋体" w:cs="宋体"/>
                <w:color w:val="auto"/>
                <w:sz w:val="24"/>
                <w:szCs w:val="24"/>
                <w:highlight w:val="none"/>
                <w:u w:val="single"/>
              </w:rPr>
              <w:t xml:space="preserve"> 1 </w:t>
            </w:r>
            <w:r>
              <w:rPr>
                <w:rFonts w:hint="eastAsia" w:ascii="宋体" w:hAnsi="宋体" w:cs="宋体"/>
                <w:color w:val="auto"/>
                <w:sz w:val="24"/>
                <w:szCs w:val="24"/>
                <w:highlight w:val="none"/>
              </w:rPr>
              <w:t>个）：</w:t>
            </w:r>
          </w:p>
          <w:p>
            <w:pPr>
              <w:pStyle w:val="3"/>
              <w:snapToGrid w:val="0"/>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□采购单位委托招标代理机构招标，在收到评标报告后五个工作日内，按照评标报告中推荐的中标候选供应商顺序确定中标供应商。</w:t>
            </w:r>
          </w:p>
          <w:p>
            <w:pPr>
              <w:pStyle w:val="3"/>
              <w:snapToGrid w:val="0"/>
              <w:spacing w:line="360" w:lineRule="auto"/>
              <w:ind w:firstLine="482" w:firstLineChars="200"/>
              <w:rPr>
                <w:rFonts w:ascii="宋体" w:hAnsi="宋体" w:cs="宋体"/>
                <w:color w:val="auto"/>
                <w:sz w:val="24"/>
                <w:szCs w:val="24"/>
                <w:highlight w:val="none"/>
              </w:rPr>
            </w:pPr>
            <w:r>
              <w:rPr>
                <w:rFonts w:hint="eastAsia" w:ascii="宋体" w:hAnsi="宋体" w:cs="宋体"/>
                <w:b/>
                <w:color w:val="auto"/>
                <w:sz w:val="24"/>
                <w:szCs w:val="24"/>
                <w:highlight w:val="none"/>
              </w:rPr>
              <w:fldChar w:fldCharType="begin"/>
            </w:r>
            <w:r>
              <w:rPr>
                <w:rFonts w:hint="eastAsia" w:ascii="宋体" w:hAnsi="宋体" w:cs="宋体"/>
                <w:b/>
                <w:color w:val="auto"/>
                <w:sz w:val="24"/>
                <w:szCs w:val="24"/>
                <w:highlight w:val="none"/>
              </w:rPr>
              <w:instrText xml:space="preserve"> eq \o\ac(</w:instrText>
            </w:r>
            <w:r>
              <w:rPr>
                <w:rFonts w:hint="eastAsia" w:ascii="宋体" w:hAnsi="宋体" w:cs="宋体"/>
                <w:b/>
                <w:color w:val="auto"/>
                <w:position w:val="-4"/>
                <w:sz w:val="36"/>
                <w:szCs w:val="24"/>
                <w:highlight w:val="none"/>
              </w:rPr>
              <w:instrText xml:space="preserve">□</w:instrText>
            </w:r>
            <w:r>
              <w:rPr>
                <w:rFonts w:hint="eastAsia" w:ascii="宋体" w:hAnsi="宋体" w:cs="宋体"/>
                <w:b/>
                <w:color w:val="auto"/>
                <w:sz w:val="24"/>
                <w:szCs w:val="24"/>
                <w:highlight w:val="none"/>
              </w:rPr>
              <w:instrText xml:space="preserve">,√)</w:instrText>
            </w:r>
            <w:r>
              <w:rPr>
                <w:rFonts w:hint="eastAsia" w:ascii="宋体" w:hAnsi="宋体" w:cs="宋体"/>
                <w:b/>
                <w:color w:val="auto"/>
                <w:sz w:val="24"/>
                <w:szCs w:val="24"/>
                <w:highlight w:val="none"/>
              </w:rPr>
              <w:fldChar w:fldCharType="end"/>
            </w:r>
            <w:r>
              <w:rPr>
                <w:rFonts w:hint="eastAsia" w:ascii="宋体" w:hAnsi="宋体" w:cs="宋体"/>
                <w:color w:val="auto"/>
                <w:sz w:val="24"/>
                <w:szCs w:val="24"/>
                <w:highlight w:val="none"/>
              </w:rPr>
              <w:t>采购单位委托招标代理机构招标，授权评标委员会直接确定中标供应商。</w:t>
            </w:r>
          </w:p>
          <w:p>
            <w:pPr>
              <w:pStyle w:val="3"/>
              <w:snapToGrid w:val="0"/>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 采购单位自行组织招标，在评标结束后五个工作日内确定中标供应商。</w:t>
            </w:r>
          </w:p>
        </w:tc>
      </w:tr>
    </w:tbl>
    <w:p>
      <w:pPr>
        <w:tabs>
          <w:tab w:val="left" w:pos="-1080"/>
          <w:tab w:val="left" w:pos="180"/>
          <w:tab w:val="left" w:pos="1080"/>
        </w:tabs>
        <w:spacing w:line="360" w:lineRule="auto"/>
        <w:rPr>
          <w:rFonts w:ascii="宋体" w:hAnsi="宋体" w:cs="宋体"/>
          <w:b/>
          <w:color w:val="auto"/>
          <w:sz w:val="24"/>
          <w:szCs w:val="24"/>
          <w:highlight w:val="none"/>
        </w:rPr>
      </w:pPr>
    </w:p>
    <w:p>
      <w:pPr>
        <w:tabs>
          <w:tab w:val="left" w:pos="-1080"/>
          <w:tab w:val="left" w:pos="180"/>
          <w:tab w:val="left" w:pos="1080"/>
        </w:tabs>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附件：评标标准、权重</w:t>
      </w:r>
    </w:p>
    <w:p>
      <w:pPr>
        <w:tabs>
          <w:tab w:val="left" w:pos="-1080"/>
          <w:tab w:val="left" w:pos="180"/>
          <w:tab w:val="left" w:pos="1080"/>
        </w:tabs>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（一）技术评分(F1)：按55分评分法，技术评分考虑下列因素：</w:t>
      </w:r>
    </w:p>
    <w:tbl>
      <w:tblPr>
        <w:tblStyle w:val="12"/>
        <w:tblW w:w="9322" w:type="dxa"/>
        <w:tblInd w:w="0" w:type="dxa"/>
        <w:tblLayout w:type="fixed"/>
        <w:tblCellMar>
          <w:top w:w="0" w:type="dxa"/>
          <w:left w:w="108" w:type="dxa"/>
          <w:bottom w:w="0" w:type="dxa"/>
          <w:right w:w="108" w:type="dxa"/>
        </w:tblCellMar>
      </w:tblPr>
      <w:tblGrid>
        <w:gridCol w:w="883"/>
        <w:gridCol w:w="7589"/>
        <w:gridCol w:w="850"/>
      </w:tblGrid>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
                <w:bCs/>
                <w:color w:val="auto"/>
                <w:sz w:val="24"/>
                <w:szCs w:val="24"/>
                <w:highlight w:val="none"/>
              </w:rPr>
            </w:pPr>
            <w:r>
              <w:rPr>
                <w:rFonts w:hint="eastAsia" w:ascii="宋体" w:hAnsi="宋体" w:cs="宋体"/>
                <w:b/>
                <w:bCs/>
                <w:color w:val="auto"/>
                <w:sz w:val="24"/>
                <w:szCs w:val="24"/>
                <w:highlight w:val="none"/>
              </w:rPr>
              <w:t>序号</w:t>
            </w:r>
          </w:p>
        </w:tc>
        <w:tc>
          <w:tcPr>
            <w:tcW w:w="758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
                <w:bCs/>
                <w:color w:val="auto"/>
                <w:sz w:val="24"/>
                <w:szCs w:val="24"/>
                <w:highlight w:val="none"/>
              </w:rPr>
            </w:pPr>
            <w:r>
              <w:rPr>
                <w:rFonts w:hint="eastAsia" w:ascii="宋体" w:hAnsi="宋体" w:cs="宋体"/>
                <w:b/>
                <w:bCs/>
                <w:color w:val="auto"/>
                <w:sz w:val="24"/>
                <w:szCs w:val="24"/>
                <w:highlight w:val="none"/>
              </w:rPr>
              <w:t>细则内容</w:t>
            </w:r>
          </w:p>
        </w:tc>
        <w:tc>
          <w:tcPr>
            <w:tcW w:w="85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
                <w:bCs/>
                <w:color w:val="auto"/>
                <w:sz w:val="24"/>
                <w:szCs w:val="24"/>
                <w:highlight w:val="none"/>
              </w:rPr>
            </w:pPr>
            <w:r>
              <w:rPr>
                <w:rFonts w:hint="eastAsia" w:ascii="宋体" w:hAnsi="宋体" w:cs="宋体"/>
                <w:b/>
                <w:bCs/>
                <w:color w:val="auto"/>
                <w:sz w:val="24"/>
                <w:szCs w:val="24"/>
                <w:highlight w:val="none"/>
              </w:rPr>
              <w:t>满分</w:t>
            </w:r>
          </w:p>
          <w:p>
            <w:pPr>
              <w:spacing w:line="360" w:lineRule="auto"/>
              <w:jc w:val="center"/>
              <w:rPr>
                <w:rFonts w:ascii="宋体" w:hAnsi="宋体" w:cs="宋体"/>
                <w:b/>
                <w:bCs/>
                <w:color w:val="auto"/>
                <w:sz w:val="24"/>
                <w:szCs w:val="24"/>
                <w:highlight w:val="none"/>
              </w:rPr>
            </w:pPr>
            <w:r>
              <w:rPr>
                <w:rFonts w:hint="eastAsia" w:ascii="宋体" w:hAnsi="宋体" w:cs="宋体"/>
                <w:b/>
                <w:bCs/>
                <w:color w:val="auto"/>
                <w:sz w:val="24"/>
                <w:szCs w:val="24"/>
                <w:highlight w:val="none"/>
              </w:rPr>
              <w:t>分值</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w:t>
            </w:r>
          </w:p>
        </w:tc>
        <w:tc>
          <w:tcPr>
            <w:tcW w:w="7589"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color w:val="auto"/>
                <w:sz w:val="24"/>
                <w:szCs w:val="24"/>
                <w:highlight w:val="none"/>
              </w:rPr>
            </w:pPr>
            <w:r>
              <w:rPr>
                <w:rFonts w:hint="eastAsia" w:ascii="宋体" w:hAnsi="宋体" w:cs="宋体"/>
                <w:color w:val="auto"/>
                <w:sz w:val="24"/>
                <w:szCs w:val="24"/>
                <w:highlight w:val="none"/>
              </w:rPr>
              <w:t>根据投标人针对本项目制定的技术保障措施（包括1.</w:t>
            </w:r>
            <w:r>
              <w:rPr>
                <w:rFonts w:hint="eastAsia" w:ascii="宋体" w:hAnsi="宋体" w:cs="宋体"/>
                <w:color w:val="auto"/>
                <w:sz w:val="24"/>
                <w:szCs w:val="24"/>
                <w:highlight w:val="none"/>
              </w:rPr>
              <w:t>项目实施团队；2.进度安排；3.质量保障措施；4.安全保障措施</w:t>
            </w:r>
            <w:r>
              <w:rPr>
                <w:rFonts w:hint="eastAsia" w:ascii="宋体" w:hAnsi="宋体" w:cs="宋体"/>
                <w:color w:val="auto"/>
                <w:sz w:val="24"/>
                <w:szCs w:val="24"/>
                <w:highlight w:val="none"/>
              </w:rPr>
              <w:t>）进行评价</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有制定相应的保障措施，对项目服务过程中的关键节点有具体质量控制措施，有相应的人力、物力投入安排，能够确保项目质量的，得3分；保障措施较为简单，对项目服务过程中的关键节点有提出基本的质量控制措施的，得1分；未提供措施或者措施不可行或不符合项目需求的不得分。</w:t>
            </w:r>
          </w:p>
        </w:tc>
        <w:tc>
          <w:tcPr>
            <w:tcW w:w="85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1-2</w:t>
            </w:r>
          </w:p>
        </w:tc>
        <w:tc>
          <w:tcPr>
            <w:tcW w:w="7589" w:type="dxa"/>
            <w:tcBorders>
              <w:top w:val="single" w:color="auto" w:sz="4" w:space="0"/>
              <w:left w:val="single" w:color="auto" w:sz="4" w:space="0"/>
              <w:bottom w:val="single" w:color="auto" w:sz="4" w:space="0"/>
              <w:right w:val="single" w:color="auto" w:sz="4" w:space="0"/>
            </w:tcBorders>
          </w:tcPr>
          <w:p>
            <w:pPr>
              <w:spacing w:line="360" w:lineRule="auto"/>
              <w:jc w:val="left"/>
              <w:rPr>
                <w:rFonts w:ascii="宋体" w:hAnsi="宋体" w:cs="宋体"/>
                <w:color w:val="auto"/>
                <w:sz w:val="24"/>
                <w:szCs w:val="24"/>
                <w:highlight w:val="none"/>
              </w:rPr>
            </w:pPr>
            <w:r>
              <w:rPr>
                <w:rFonts w:hint="eastAsia" w:ascii="宋体" w:hAnsi="宋体" w:cs="宋体"/>
                <w:color w:val="auto"/>
                <w:sz w:val="24"/>
                <w:szCs w:val="24"/>
                <w:highlight w:val="none"/>
              </w:rPr>
              <w:t>根据投标人针对本项目制定的</w:t>
            </w:r>
            <w:r>
              <w:rPr>
                <w:rFonts w:hint="eastAsia" w:ascii="宋体" w:hAnsi="宋体" w:cs="宋体"/>
                <w:color w:val="auto"/>
                <w:sz w:val="24"/>
                <w:szCs w:val="24"/>
                <w:highlight w:val="none"/>
              </w:rPr>
              <w:t>安装调试方案</w:t>
            </w:r>
            <w:r>
              <w:rPr>
                <w:rFonts w:hint="eastAsia" w:ascii="宋体" w:hAnsi="宋体" w:cs="宋体"/>
                <w:color w:val="auto"/>
                <w:sz w:val="24"/>
                <w:szCs w:val="24"/>
                <w:highlight w:val="none"/>
              </w:rPr>
              <w:t>进行评价：</w:t>
            </w:r>
            <w:r>
              <w:rPr>
                <w:rFonts w:hint="eastAsia" w:ascii="宋体" w:hAnsi="宋体"/>
                <w:color w:val="auto"/>
                <w:sz w:val="24"/>
                <w:highlight w:val="none"/>
              </w:rPr>
              <w:t>根据项目需求情况提出详细、具体、明确的流程、方式方法的，得3分；方案较为简单，但基本能符合项目需求，有提出流程、方式方法的，得1分；未提供方案或者方案不可行或不符合项目需求的不得分。</w:t>
            </w:r>
          </w:p>
        </w:tc>
        <w:tc>
          <w:tcPr>
            <w:tcW w:w="85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rPr>
          <w:trHeight w:val="1231" w:hRule="atLeast"/>
        </w:trPr>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1-3</w:t>
            </w:r>
          </w:p>
        </w:tc>
        <w:tc>
          <w:tcPr>
            <w:tcW w:w="7589"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根据投标人</w:t>
            </w:r>
            <w:r>
              <w:rPr>
                <w:rFonts w:hint="eastAsia" w:ascii="宋体" w:hAnsi="宋体" w:cs="宋体"/>
                <w:color w:val="auto"/>
                <w:sz w:val="24"/>
                <w:szCs w:val="24"/>
                <w:highlight w:val="none"/>
              </w:rPr>
              <w:t>提供采购清单中宿舍家具所有产品来进行平面布局及效果图设计（体现宿舍家具内涉及的所有产品）</w:t>
            </w:r>
            <w:r>
              <w:rPr>
                <w:rFonts w:hint="eastAsia" w:ascii="宋体" w:hAnsi="宋体" w:cs="宋体"/>
                <w:color w:val="auto"/>
                <w:sz w:val="24"/>
                <w:szCs w:val="24"/>
                <w:highlight w:val="none"/>
                <w:lang w:val="en-US" w:eastAsia="zh-CN"/>
              </w:rPr>
              <w:t>进行评价</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提供平面布局图及2个不同角度展示的效果图的得3分，</w:t>
            </w:r>
            <w:r>
              <w:rPr>
                <w:rFonts w:hint="eastAsia" w:ascii="宋体" w:hAnsi="宋体" w:cs="宋体"/>
                <w:bCs/>
                <w:color w:val="auto"/>
                <w:sz w:val="24"/>
                <w:szCs w:val="24"/>
                <w:highlight w:val="none"/>
              </w:rPr>
              <w:t>未提供或提供的图纸存在缺漏的不得分。</w:t>
            </w:r>
            <w:r>
              <w:rPr>
                <w:rFonts w:hint="eastAsia" w:ascii="宋体" w:hAnsi="宋体" w:cs="宋体"/>
                <w:color w:val="auto"/>
                <w:sz w:val="24"/>
                <w:szCs w:val="24"/>
                <w:highlight w:val="none"/>
              </w:rPr>
              <w:t xml:space="preserve">       </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rPr>
          <w:trHeight w:val="1858" w:hRule="atLeast"/>
        </w:trPr>
        <w:tc>
          <w:tcPr>
            <w:tcW w:w="883" w:type="dxa"/>
            <w:tcBorders>
              <w:top w:val="single" w:color="auto" w:sz="4" w:space="0"/>
              <w:left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1-4</w:t>
            </w:r>
          </w:p>
        </w:tc>
        <w:tc>
          <w:tcPr>
            <w:tcW w:w="7589" w:type="dxa"/>
            <w:tcBorders>
              <w:top w:val="single" w:color="auto" w:sz="4" w:space="0"/>
              <w:left w:val="single" w:color="auto" w:sz="4" w:space="0"/>
              <w:right w:val="single" w:color="auto" w:sz="4" w:space="0"/>
            </w:tcBorders>
          </w:tcPr>
          <w:p>
            <w:pPr>
              <w:rPr>
                <w:rFonts w:ascii="宋体" w:hAnsi="宋体" w:cs="宋体"/>
                <w:color w:val="auto"/>
                <w:sz w:val="24"/>
                <w:szCs w:val="24"/>
                <w:highlight w:val="none"/>
              </w:rPr>
            </w:pPr>
            <w:r>
              <w:rPr>
                <w:rFonts w:hint="eastAsia" w:ascii="宋体" w:hAnsi="宋体" w:cs="宋体"/>
                <w:bCs/>
                <w:color w:val="auto"/>
                <w:sz w:val="24"/>
                <w:szCs w:val="24"/>
                <w:highlight w:val="none"/>
              </w:rPr>
              <w:t>根据</w:t>
            </w:r>
            <w:r>
              <w:rPr>
                <w:rFonts w:hint="eastAsia" w:ascii="宋体" w:hAnsi="宋体" w:cs="宋体"/>
                <w:color w:val="auto"/>
                <w:sz w:val="24"/>
                <w:szCs w:val="24"/>
                <w:highlight w:val="none"/>
              </w:rPr>
              <w:t>投标人</w:t>
            </w:r>
            <w:r>
              <w:rPr>
                <w:rFonts w:hint="eastAsia" w:ascii="宋体" w:hAnsi="宋体" w:cs="宋体"/>
                <w:color w:val="auto"/>
                <w:sz w:val="24"/>
                <w:szCs w:val="24"/>
                <w:highlight w:val="none"/>
                <w:lang w:val="en-US" w:eastAsia="zh-CN"/>
              </w:rPr>
              <w:t>依据</w:t>
            </w:r>
            <w:r>
              <w:rPr>
                <w:rFonts w:hint="eastAsia" w:ascii="宋体" w:hAnsi="宋体" w:cs="宋体"/>
                <w:color w:val="auto"/>
                <w:sz w:val="24"/>
                <w:szCs w:val="24"/>
                <w:highlight w:val="none"/>
              </w:rPr>
              <w:t>采购清单</w:t>
            </w:r>
            <w:r>
              <w:rPr>
                <w:rFonts w:hint="eastAsia" w:ascii="宋体" w:hAnsi="宋体" w:cs="宋体"/>
                <w:bCs/>
                <w:color w:val="auto"/>
                <w:sz w:val="24"/>
                <w:szCs w:val="24"/>
                <w:highlight w:val="none"/>
              </w:rPr>
              <w:t>提供</w:t>
            </w:r>
            <w:r>
              <w:rPr>
                <w:rFonts w:hint="eastAsia" w:ascii="宋体" w:hAnsi="宋体" w:cs="宋体"/>
                <w:bCs/>
                <w:color w:val="auto"/>
                <w:sz w:val="24"/>
                <w:szCs w:val="24"/>
                <w:highlight w:val="none"/>
                <w:lang w:val="en-US" w:eastAsia="zh-CN"/>
              </w:rPr>
              <w:t>的</w:t>
            </w:r>
            <w:r>
              <w:rPr>
                <w:rFonts w:hint="eastAsia" w:ascii="宋体" w:hAnsi="宋体" w:cs="宋体"/>
                <w:color w:val="auto"/>
                <w:kern w:val="0"/>
                <w:sz w:val="24"/>
                <w:szCs w:val="24"/>
                <w:highlight w:val="none"/>
                <w:lang w:bidi="ar"/>
              </w:rPr>
              <w:t>上下铺四人床</w:t>
            </w:r>
            <w:r>
              <w:rPr>
                <w:rFonts w:hint="eastAsia" w:ascii="宋体" w:hAnsi="宋体" w:cs="宋体"/>
                <w:bCs/>
                <w:color w:val="auto"/>
                <w:sz w:val="24"/>
                <w:szCs w:val="24"/>
                <w:highlight w:val="none"/>
              </w:rPr>
              <w:t>的深化设计图纸（产品效果图、标有详细规格尺寸、形状、</w:t>
            </w:r>
            <w:r>
              <w:rPr>
                <w:rFonts w:hint="eastAsia" w:cs="宋体"/>
                <w:bCs/>
                <w:color w:val="auto"/>
                <w:sz w:val="24"/>
                <w:szCs w:val="24"/>
                <w:highlight w:val="none"/>
              </w:rPr>
              <w:t>整体及部件</w:t>
            </w:r>
            <w:r>
              <w:rPr>
                <w:rFonts w:hint="eastAsia" w:ascii="宋体" w:hAnsi="宋体" w:cs="宋体"/>
                <w:bCs/>
                <w:color w:val="auto"/>
                <w:sz w:val="24"/>
                <w:szCs w:val="24"/>
                <w:highlight w:val="none"/>
              </w:rPr>
              <w:t>等的设计图）进行评价。①.有提供</w:t>
            </w:r>
            <w:r>
              <w:rPr>
                <w:rFonts w:hint="eastAsia" w:ascii="宋体" w:hAnsi="宋体" w:cs="宋体"/>
                <w:color w:val="auto"/>
                <w:kern w:val="0"/>
                <w:sz w:val="24"/>
                <w:szCs w:val="24"/>
                <w:highlight w:val="none"/>
                <w:lang w:bidi="ar"/>
              </w:rPr>
              <w:t>上下铺四人床</w:t>
            </w:r>
            <w:r>
              <w:rPr>
                <w:rFonts w:hint="eastAsia" w:ascii="宋体" w:hAnsi="宋体" w:cs="宋体"/>
                <w:bCs/>
                <w:color w:val="auto"/>
                <w:sz w:val="24"/>
                <w:szCs w:val="24"/>
                <w:highlight w:val="none"/>
              </w:rPr>
              <w:t>深化设计图纸的得1分。②.在满足①的基础上，提供的图纸完整且能够直观反应出</w:t>
            </w:r>
            <w:r>
              <w:rPr>
                <w:rFonts w:hint="eastAsia" w:ascii="宋体" w:hAnsi="宋体" w:cs="宋体"/>
                <w:color w:val="auto"/>
                <w:kern w:val="0"/>
                <w:sz w:val="24"/>
                <w:szCs w:val="24"/>
                <w:highlight w:val="none"/>
                <w:lang w:bidi="ar"/>
              </w:rPr>
              <w:t>上下铺四人床</w:t>
            </w:r>
            <w:r>
              <w:rPr>
                <w:rFonts w:hint="eastAsia" w:ascii="宋体" w:hAnsi="宋体" w:cs="宋体"/>
                <w:bCs/>
                <w:color w:val="auto"/>
                <w:sz w:val="24"/>
                <w:szCs w:val="24"/>
                <w:highlight w:val="none"/>
              </w:rPr>
              <w:t>细节的结构及效果的得3分。③.未提供深化设计图纸或提供的图纸存在较大缺漏的不得分。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rPr>
          <w:trHeight w:val="2158" w:hRule="atLeast"/>
        </w:trPr>
        <w:tc>
          <w:tcPr>
            <w:tcW w:w="883" w:type="dxa"/>
            <w:tcBorders>
              <w:top w:val="single" w:color="auto" w:sz="4" w:space="0"/>
              <w:left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1-5</w:t>
            </w:r>
          </w:p>
          <w:p>
            <w:pPr>
              <w:spacing w:line="360" w:lineRule="auto"/>
              <w:jc w:val="center"/>
              <w:rPr>
                <w:rFonts w:ascii="宋体" w:hAnsi="宋体" w:cs="宋体"/>
                <w:bCs/>
                <w:color w:val="auto"/>
                <w:sz w:val="24"/>
                <w:szCs w:val="24"/>
                <w:highlight w:val="none"/>
              </w:rPr>
            </w:pPr>
          </w:p>
        </w:tc>
        <w:tc>
          <w:tcPr>
            <w:tcW w:w="7589" w:type="dxa"/>
            <w:tcBorders>
              <w:top w:val="single" w:color="auto" w:sz="4" w:space="0"/>
              <w:left w:val="single" w:color="auto" w:sz="4" w:space="0"/>
              <w:right w:val="single" w:color="auto" w:sz="4" w:space="0"/>
            </w:tcBorders>
          </w:tcPr>
          <w:p>
            <w:pPr>
              <w:spacing w:line="360" w:lineRule="auto"/>
              <w:rPr>
                <w:color w:val="auto"/>
                <w:highlight w:val="none"/>
              </w:rPr>
            </w:pPr>
            <w:r>
              <w:rPr>
                <w:rFonts w:hint="eastAsia" w:ascii="宋体" w:hAnsi="宋体" w:cs="宋体"/>
                <w:bCs/>
                <w:color w:val="auto"/>
                <w:sz w:val="24"/>
                <w:szCs w:val="24"/>
                <w:highlight w:val="none"/>
              </w:rPr>
              <w:t>根据</w:t>
            </w:r>
            <w:r>
              <w:rPr>
                <w:rFonts w:hint="eastAsia" w:ascii="宋体" w:hAnsi="宋体" w:cs="宋体"/>
                <w:color w:val="auto"/>
                <w:sz w:val="24"/>
                <w:szCs w:val="24"/>
                <w:highlight w:val="none"/>
              </w:rPr>
              <w:t>投标人</w:t>
            </w:r>
            <w:r>
              <w:rPr>
                <w:rFonts w:hint="eastAsia" w:ascii="宋体" w:hAnsi="宋体" w:cs="宋体"/>
                <w:color w:val="auto"/>
                <w:sz w:val="24"/>
                <w:szCs w:val="24"/>
                <w:highlight w:val="none"/>
                <w:lang w:val="en-US" w:eastAsia="zh-CN"/>
              </w:rPr>
              <w:t>依据</w:t>
            </w:r>
            <w:r>
              <w:rPr>
                <w:rFonts w:hint="eastAsia" w:ascii="宋体" w:hAnsi="宋体" w:cs="宋体"/>
                <w:color w:val="auto"/>
                <w:sz w:val="24"/>
                <w:szCs w:val="24"/>
                <w:highlight w:val="none"/>
              </w:rPr>
              <w:t>采购清单</w:t>
            </w:r>
            <w:r>
              <w:rPr>
                <w:rFonts w:hint="eastAsia" w:ascii="宋体" w:hAnsi="宋体" w:cs="宋体"/>
                <w:bCs/>
                <w:color w:val="auto"/>
                <w:sz w:val="24"/>
                <w:szCs w:val="24"/>
                <w:highlight w:val="none"/>
              </w:rPr>
              <w:t>提供</w:t>
            </w:r>
            <w:r>
              <w:rPr>
                <w:rFonts w:hint="eastAsia" w:ascii="宋体" w:hAnsi="宋体" w:cs="宋体"/>
                <w:bCs/>
                <w:color w:val="auto"/>
                <w:sz w:val="24"/>
                <w:szCs w:val="24"/>
                <w:highlight w:val="none"/>
                <w:lang w:val="en-US" w:eastAsia="zh-CN"/>
              </w:rPr>
              <w:t>的</w:t>
            </w:r>
            <w:r>
              <w:rPr>
                <w:rFonts w:hint="eastAsia" w:ascii="宋体" w:hAnsi="宋体" w:cs="宋体"/>
                <w:color w:val="auto"/>
                <w:kern w:val="0"/>
                <w:sz w:val="24"/>
                <w:szCs w:val="24"/>
                <w:highlight w:val="none"/>
                <w:lang w:bidi="ar"/>
              </w:rPr>
              <w:t>上床下桌两人床</w:t>
            </w:r>
            <w:r>
              <w:rPr>
                <w:rFonts w:hint="eastAsia" w:ascii="宋体" w:hAnsi="宋体" w:cs="宋体"/>
                <w:bCs/>
                <w:color w:val="auto"/>
                <w:sz w:val="24"/>
                <w:szCs w:val="24"/>
                <w:highlight w:val="none"/>
              </w:rPr>
              <w:t>的深化设计图纸（产品效果图、标有详细规格尺寸、形状</w:t>
            </w:r>
            <w:r>
              <w:rPr>
                <w:rFonts w:hint="eastAsia" w:cs="宋体"/>
                <w:bCs/>
                <w:color w:val="auto"/>
                <w:sz w:val="24"/>
                <w:szCs w:val="24"/>
                <w:highlight w:val="none"/>
              </w:rPr>
              <w:t>、整体及部件</w:t>
            </w:r>
            <w:r>
              <w:rPr>
                <w:rFonts w:hint="eastAsia" w:ascii="宋体" w:hAnsi="宋体" w:cs="宋体"/>
                <w:bCs/>
                <w:color w:val="auto"/>
                <w:sz w:val="24"/>
                <w:szCs w:val="24"/>
                <w:highlight w:val="none"/>
              </w:rPr>
              <w:t>等的设计图）进行评价</w:t>
            </w:r>
            <w:r>
              <w:rPr>
                <w:rFonts w:hint="eastAsia" w:cs="宋体"/>
                <w:bCs/>
                <w:color w:val="auto"/>
                <w:sz w:val="24"/>
                <w:szCs w:val="24"/>
                <w:highlight w:val="none"/>
              </w:rPr>
              <w:t>：</w:t>
            </w:r>
            <w:r>
              <w:rPr>
                <w:rFonts w:hint="eastAsia" w:ascii="宋体" w:hAnsi="宋体" w:cs="宋体"/>
                <w:bCs/>
                <w:color w:val="auto"/>
                <w:sz w:val="24"/>
                <w:szCs w:val="24"/>
                <w:highlight w:val="none"/>
              </w:rPr>
              <w:t>①.有提供</w:t>
            </w:r>
            <w:r>
              <w:rPr>
                <w:rFonts w:hint="eastAsia" w:ascii="宋体" w:hAnsi="宋体" w:cs="宋体"/>
                <w:color w:val="auto"/>
                <w:kern w:val="0"/>
                <w:sz w:val="24"/>
                <w:szCs w:val="24"/>
                <w:highlight w:val="none"/>
                <w:lang w:bidi="ar"/>
              </w:rPr>
              <w:t>上床下桌两人床</w:t>
            </w:r>
            <w:r>
              <w:rPr>
                <w:rFonts w:hint="eastAsia" w:ascii="宋体" w:hAnsi="宋体" w:cs="宋体"/>
                <w:bCs/>
                <w:color w:val="auto"/>
                <w:sz w:val="24"/>
                <w:szCs w:val="24"/>
                <w:highlight w:val="none"/>
              </w:rPr>
              <w:t>深化设计图纸的得1分。②.在满足①的基础上，提供的图纸完整且能够直观反应出</w:t>
            </w:r>
            <w:r>
              <w:rPr>
                <w:rFonts w:hint="eastAsia" w:ascii="宋体" w:hAnsi="宋体" w:cs="宋体"/>
                <w:color w:val="auto"/>
                <w:kern w:val="0"/>
                <w:sz w:val="24"/>
                <w:szCs w:val="24"/>
                <w:highlight w:val="none"/>
                <w:lang w:bidi="ar"/>
              </w:rPr>
              <w:t>上床下桌两人床</w:t>
            </w:r>
            <w:r>
              <w:rPr>
                <w:rFonts w:hint="eastAsia" w:ascii="宋体" w:hAnsi="宋体" w:cs="宋体"/>
                <w:bCs/>
                <w:color w:val="auto"/>
                <w:sz w:val="24"/>
                <w:szCs w:val="24"/>
                <w:highlight w:val="none"/>
              </w:rPr>
              <w:t>细节的结构及效果的得3分。③.未提供深化设计图纸或提供的图纸存在较大缺漏的不得分。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1-6</w:t>
            </w:r>
          </w:p>
        </w:tc>
        <w:tc>
          <w:tcPr>
            <w:tcW w:w="7589" w:type="dxa"/>
            <w:tcBorders>
              <w:top w:val="single" w:color="auto" w:sz="4" w:space="0"/>
              <w:left w:val="single" w:color="auto" w:sz="4" w:space="0"/>
              <w:bottom w:val="single" w:color="auto" w:sz="4" w:space="0"/>
              <w:right w:val="single" w:color="auto" w:sz="4" w:space="0"/>
            </w:tcBorders>
          </w:tcPr>
          <w:p>
            <w:pPr>
              <w:spacing w:line="360" w:lineRule="auto"/>
              <w:rPr>
                <w:color w:val="auto"/>
                <w:highlight w:val="none"/>
              </w:rPr>
            </w:pPr>
            <w:r>
              <w:rPr>
                <w:rFonts w:hint="eastAsia" w:ascii="宋体" w:hAnsi="宋体" w:cs="宋体"/>
                <w:bCs/>
                <w:color w:val="auto"/>
                <w:sz w:val="24"/>
                <w:szCs w:val="24"/>
                <w:highlight w:val="none"/>
              </w:rPr>
              <w:t>根据</w:t>
            </w:r>
            <w:r>
              <w:rPr>
                <w:rFonts w:hint="eastAsia" w:ascii="宋体" w:hAnsi="宋体" w:cs="宋体"/>
                <w:color w:val="auto"/>
                <w:sz w:val="24"/>
                <w:szCs w:val="24"/>
                <w:highlight w:val="none"/>
              </w:rPr>
              <w:t>投标人</w:t>
            </w:r>
            <w:r>
              <w:rPr>
                <w:rFonts w:hint="eastAsia" w:ascii="宋体" w:hAnsi="宋体" w:cs="宋体"/>
                <w:color w:val="auto"/>
                <w:sz w:val="24"/>
                <w:szCs w:val="24"/>
                <w:highlight w:val="none"/>
                <w:lang w:val="en-US" w:eastAsia="zh-CN"/>
              </w:rPr>
              <w:t>依据</w:t>
            </w:r>
            <w:r>
              <w:rPr>
                <w:rFonts w:hint="eastAsia" w:ascii="宋体" w:hAnsi="宋体" w:cs="宋体"/>
                <w:color w:val="auto"/>
                <w:sz w:val="24"/>
                <w:szCs w:val="24"/>
                <w:highlight w:val="none"/>
              </w:rPr>
              <w:t>采购清单</w:t>
            </w:r>
            <w:r>
              <w:rPr>
                <w:rFonts w:hint="eastAsia" w:ascii="宋体" w:hAnsi="宋体" w:cs="宋体"/>
                <w:bCs/>
                <w:color w:val="auto"/>
                <w:sz w:val="24"/>
                <w:szCs w:val="24"/>
                <w:highlight w:val="none"/>
              </w:rPr>
              <w:t>提供</w:t>
            </w:r>
            <w:r>
              <w:rPr>
                <w:rFonts w:hint="eastAsia" w:ascii="宋体" w:hAnsi="宋体" w:cs="宋体"/>
                <w:bCs/>
                <w:color w:val="auto"/>
                <w:sz w:val="24"/>
                <w:szCs w:val="24"/>
                <w:highlight w:val="none"/>
                <w:lang w:val="en-US" w:eastAsia="zh-CN"/>
              </w:rPr>
              <w:t>的</w:t>
            </w:r>
            <w:r>
              <w:rPr>
                <w:rFonts w:hint="eastAsia" w:ascii="宋体" w:hAnsi="宋体" w:cs="宋体"/>
                <w:color w:val="auto"/>
                <w:kern w:val="0"/>
                <w:sz w:val="24"/>
                <w:szCs w:val="24"/>
                <w:highlight w:val="none"/>
                <w:lang w:bidi="ar"/>
              </w:rPr>
              <w:t>带扶手椅</w:t>
            </w:r>
            <w:r>
              <w:rPr>
                <w:rFonts w:hint="eastAsia" w:ascii="宋体" w:hAnsi="宋体" w:cs="宋体"/>
                <w:bCs/>
                <w:color w:val="auto"/>
                <w:sz w:val="24"/>
                <w:szCs w:val="24"/>
                <w:highlight w:val="none"/>
              </w:rPr>
              <w:t>的深化设计图纸（产品效果图、标有详细规格尺寸、形状</w:t>
            </w:r>
            <w:r>
              <w:rPr>
                <w:rFonts w:hint="eastAsia" w:cs="宋体"/>
                <w:bCs/>
                <w:color w:val="auto"/>
                <w:sz w:val="24"/>
                <w:szCs w:val="24"/>
                <w:highlight w:val="none"/>
              </w:rPr>
              <w:t>、整体及部件</w:t>
            </w:r>
            <w:r>
              <w:rPr>
                <w:rFonts w:hint="eastAsia" w:ascii="宋体" w:hAnsi="宋体" w:cs="宋体"/>
                <w:bCs/>
                <w:color w:val="auto"/>
                <w:sz w:val="24"/>
                <w:szCs w:val="24"/>
                <w:highlight w:val="none"/>
              </w:rPr>
              <w:t>等的设计图）进行评价</w:t>
            </w:r>
            <w:r>
              <w:rPr>
                <w:rFonts w:hint="eastAsia" w:cs="宋体"/>
                <w:bCs/>
                <w:color w:val="auto"/>
                <w:sz w:val="24"/>
                <w:szCs w:val="24"/>
                <w:highlight w:val="none"/>
              </w:rPr>
              <w:t>：</w:t>
            </w:r>
            <w:r>
              <w:rPr>
                <w:rFonts w:hint="eastAsia" w:ascii="宋体" w:hAnsi="宋体" w:cs="宋体"/>
                <w:bCs/>
                <w:color w:val="auto"/>
                <w:sz w:val="24"/>
                <w:szCs w:val="24"/>
                <w:highlight w:val="none"/>
              </w:rPr>
              <w:t>①.有提供</w:t>
            </w:r>
            <w:r>
              <w:rPr>
                <w:rFonts w:hint="eastAsia" w:ascii="宋体" w:hAnsi="宋体" w:cs="宋体"/>
                <w:color w:val="auto"/>
                <w:kern w:val="0"/>
                <w:sz w:val="24"/>
                <w:szCs w:val="24"/>
                <w:highlight w:val="none"/>
                <w:lang w:bidi="ar"/>
              </w:rPr>
              <w:t>带扶手椅</w:t>
            </w:r>
            <w:r>
              <w:rPr>
                <w:rFonts w:hint="eastAsia" w:ascii="宋体" w:hAnsi="宋体" w:cs="宋体"/>
                <w:bCs/>
                <w:color w:val="auto"/>
                <w:sz w:val="24"/>
                <w:szCs w:val="24"/>
                <w:highlight w:val="none"/>
              </w:rPr>
              <w:t>深化设计图纸的得1分。②.在满足①的基础上，提供的图纸完整且能够直观反应出</w:t>
            </w:r>
            <w:r>
              <w:rPr>
                <w:rFonts w:hint="eastAsia" w:ascii="宋体" w:hAnsi="宋体" w:cs="宋体"/>
                <w:color w:val="auto"/>
                <w:kern w:val="0"/>
                <w:sz w:val="24"/>
                <w:szCs w:val="24"/>
                <w:highlight w:val="none"/>
                <w:lang w:bidi="ar"/>
              </w:rPr>
              <w:t>带扶手椅</w:t>
            </w:r>
            <w:r>
              <w:rPr>
                <w:rFonts w:hint="eastAsia" w:ascii="宋体" w:hAnsi="宋体" w:cs="宋体"/>
                <w:bCs/>
                <w:color w:val="auto"/>
                <w:sz w:val="24"/>
                <w:szCs w:val="24"/>
                <w:highlight w:val="none"/>
              </w:rPr>
              <w:t>细节的结构及效果的得3分。③.未提供深化设计图纸或提供的图纸存在较大缺漏的不得分。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s>
              <w:spacing w:line="360" w:lineRule="auto"/>
              <w:jc w:val="center"/>
              <w:rPr>
                <w:rFonts w:ascii="宋体" w:hAnsi="宋体" w:cs="宋体"/>
                <w:bCs/>
                <w:color w:val="auto"/>
                <w:sz w:val="24"/>
                <w:szCs w:val="24"/>
                <w:highlight w:val="none"/>
              </w:rPr>
            </w:pPr>
            <w:r>
              <w:rPr>
                <w:rFonts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1-7</w:t>
            </w:r>
          </w:p>
        </w:tc>
        <w:tc>
          <w:tcPr>
            <w:tcW w:w="7589" w:type="dxa"/>
            <w:tcBorders>
              <w:top w:val="single" w:color="auto" w:sz="4" w:space="0"/>
              <w:left w:val="single" w:color="auto" w:sz="4" w:space="0"/>
              <w:bottom w:val="single" w:color="auto" w:sz="4" w:space="0"/>
              <w:right w:val="single" w:color="auto" w:sz="4" w:space="0"/>
            </w:tcBorders>
          </w:tcPr>
          <w:p>
            <w:pPr>
              <w:pStyle w:val="2"/>
              <w:spacing w:line="360" w:lineRule="auto"/>
              <w:rPr>
                <w:color w:val="auto"/>
                <w:highlight w:val="none"/>
              </w:rPr>
            </w:pPr>
            <w:r>
              <w:rPr>
                <w:rFonts w:hint="eastAsia" w:ascii="宋体" w:hAnsi="宋体" w:cs="宋体"/>
                <w:color w:val="auto"/>
                <w:sz w:val="24"/>
                <w:szCs w:val="24"/>
                <w:highlight w:val="none"/>
              </w:rPr>
              <w:t>根据投标人</w:t>
            </w:r>
            <w:r>
              <w:rPr>
                <w:rFonts w:hint="eastAsia" w:ascii="宋体" w:hAnsi="宋体" w:cs="宋体"/>
                <w:color w:val="auto"/>
                <w:sz w:val="24"/>
                <w:szCs w:val="24"/>
                <w:highlight w:val="none"/>
                <w:lang w:val="en-US" w:eastAsia="zh-CN"/>
              </w:rPr>
              <w:t>所投</w:t>
            </w:r>
            <w:r>
              <w:rPr>
                <w:rFonts w:hint="eastAsia" w:ascii="宋体" w:hAnsi="宋体" w:cs="宋体"/>
                <w:color w:val="auto"/>
                <w:kern w:val="0"/>
                <w:sz w:val="24"/>
                <w:szCs w:val="24"/>
                <w:highlight w:val="none"/>
                <w:lang w:bidi="ar"/>
              </w:rPr>
              <w:t>带扶手椅</w:t>
            </w:r>
            <w:r>
              <w:rPr>
                <w:rFonts w:hint="eastAsia" w:ascii="宋体" w:hAnsi="宋体" w:cs="宋体"/>
                <w:color w:val="auto"/>
                <w:sz w:val="24"/>
                <w:szCs w:val="24"/>
                <w:highlight w:val="none"/>
              </w:rPr>
              <w:t>的技术参数对招标要求的响应情况进行评价：</w:t>
            </w:r>
            <w:r>
              <w:rPr>
                <w:rStyle w:val="17"/>
                <w:rFonts w:hint="default"/>
                <w:color w:val="auto"/>
                <w:sz w:val="24"/>
                <w:szCs w:val="24"/>
                <w:highlight w:val="none"/>
                <w:lang w:bidi="ar"/>
              </w:rPr>
              <w:t>背部有折弯钢板挂钩，挂钩采用厚≥2.5mm钢板焊接于靠背支撑架上，便于悬挂书包、水杯。焊接固定件外部卡上ABS装饰盖，脚垫</w:t>
            </w:r>
            <w:r>
              <w:rPr>
                <w:rStyle w:val="18"/>
                <w:rFonts w:hint="default" w:ascii="宋体" w:hAnsi="宋体" w:eastAsia="宋体" w:cs="宋体"/>
                <w:color w:val="auto"/>
                <w:sz w:val="24"/>
                <w:szCs w:val="24"/>
                <w:highlight w:val="none"/>
                <w:lang w:bidi="ar"/>
              </w:rPr>
              <w:t>尺寸：上管直径22mm*下管直径19*高</w:t>
            </w:r>
            <w:r>
              <w:rPr>
                <w:rStyle w:val="18"/>
                <w:rFonts w:hint="default" w:ascii="宋体" w:hAnsi="宋体" w:eastAsia="宋体" w:cs="宋体"/>
                <w:color w:val="auto"/>
                <w:sz w:val="24"/>
                <w:szCs w:val="24"/>
                <w:highlight w:val="none"/>
                <w:lang w:bidi="ar"/>
              </w:rPr>
              <w:t>60mm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±1mm</w:t>
            </w:r>
            <w:r>
              <w:rPr>
                <w:rFonts w:hint="eastAsia" w:ascii="宋体" w:hAnsi="宋体" w:cs="宋体"/>
                <w:color w:val="auto"/>
                <w:kern w:val="0"/>
                <w:sz w:val="24"/>
                <w:szCs w:val="24"/>
                <w:highlight w:val="none"/>
                <w:lang w:eastAsia="zh-CN" w:bidi="ar"/>
              </w:rPr>
              <w:t>）</w:t>
            </w:r>
            <w:r>
              <w:rPr>
                <w:rStyle w:val="17"/>
                <w:rFonts w:hint="default"/>
                <w:color w:val="auto"/>
                <w:sz w:val="24"/>
                <w:szCs w:val="24"/>
                <w:highlight w:val="none"/>
                <w:lang w:bidi="ar"/>
              </w:rPr>
              <w:t>。</w:t>
            </w:r>
            <w:r>
              <w:rPr>
                <w:rFonts w:hint="eastAsia" w:ascii="宋体" w:hAnsi="宋体" w:cs="宋体"/>
                <w:color w:val="auto"/>
                <w:kern w:val="0"/>
                <w:sz w:val="24"/>
                <w:szCs w:val="24"/>
                <w:highlight w:val="none"/>
                <w:lang w:bidi="ar"/>
              </w:rPr>
              <w:t>以上要求完全满足得3分，需</w:t>
            </w:r>
            <w:r>
              <w:rPr>
                <w:rFonts w:hint="eastAsia" w:ascii="宋体" w:hAnsi="宋体" w:cs="宋体"/>
                <w:color w:val="auto"/>
                <w:sz w:val="24"/>
                <w:szCs w:val="24"/>
                <w:highlight w:val="none"/>
              </w:rPr>
              <w:t>提供实拍图片及文字说明作为佐证材料，</w:t>
            </w:r>
            <w:r>
              <w:rPr>
                <w:rFonts w:hint="eastAsia" w:ascii="宋体" w:hAnsi="宋体" w:cs="宋体"/>
                <w:color w:val="auto"/>
                <w:kern w:val="0"/>
                <w:sz w:val="24"/>
                <w:szCs w:val="24"/>
                <w:highlight w:val="none"/>
                <w:lang w:bidi="ar"/>
              </w:rPr>
              <w:t>否则不得分。</w:t>
            </w:r>
            <w:r>
              <w:rPr>
                <w:rStyle w:val="18"/>
                <w:rFonts w:hint="default" w:ascii="宋体" w:hAnsi="宋体" w:eastAsia="宋体" w:cs="宋体"/>
                <w:color w:val="auto"/>
                <w:sz w:val="24"/>
                <w:szCs w:val="24"/>
                <w:highlight w:val="none"/>
                <w:lang w:bidi="ar"/>
              </w:rPr>
              <w:t xml:space="preserve"> </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1-8</w:t>
            </w:r>
          </w:p>
        </w:tc>
        <w:tc>
          <w:tcPr>
            <w:tcW w:w="7589" w:type="dxa"/>
            <w:tcBorders>
              <w:top w:val="single" w:color="auto" w:sz="4" w:space="0"/>
              <w:left w:val="single" w:color="auto" w:sz="4" w:space="0"/>
              <w:bottom w:val="single" w:color="auto" w:sz="4" w:space="0"/>
              <w:right w:val="single" w:color="auto" w:sz="4" w:space="0"/>
            </w:tcBorders>
          </w:tcPr>
          <w:p>
            <w:pPr>
              <w:pStyle w:val="2"/>
              <w:spacing w:line="360" w:lineRule="auto"/>
              <w:rPr>
                <w:color w:val="auto"/>
                <w:highlight w:val="none"/>
              </w:rPr>
            </w:pPr>
            <w:r>
              <w:rPr>
                <w:rFonts w:hint="eastAsia" w:ascii="宋体" w:hAnsi="宋体" w:cs="宋体"/>
                <w:color w:val="auto"/>
                <w:sz w:val="24"/>
                <w:szCs w:val="24"/>
                <w:highlight w:val="none"/>
              </w:rPr>
              <w:t>根据投标人</w:t>
            </w:r>
            <w:r>
              <w:rPr>
                <w:rFonts w:hint="eastAsia" w:ascii="宋体" w:hAnsi="宋体" w:cs="宋体"/>
                <w:color w:val="auto"/>
                <w:sz w:val="24"/>
                <w:szCs w:val="24"/>
                <w:highlight w:val="none"/>
                <w:lang w:val="en-US" w:eastAsia="zh-CN"/>
              </w:rPr>
              <w:t>所投</w:t>
            </w:r>
            <w:r>
              <w:rPr>
                <w:rFonts w:hint="eastAsia" w:ascii="宋体" w:hAnsi="宋体" w:cs="宋体"/>
                <w:color w:val="auto"/>
                <w:kern w:val="0"/>
                <w:sz w:val="24"/>
                <w:szCs w:val="24"/>
                <w:highlight w:val="none"/>
                <w:lang w:bidi="ar"/>
              </w:rPr>
              <w:t>带扶手椅</w:t>
            </w:r>
            <w:r>
              <w:rPr>
                <w:rFonts w:hint="eastAsia" w:ascii="宋体" w:hAnsi="宋体" w:cs="宋体"/>
                <w:color w:val="auto"/>
                <w:sz w:val="24"/>
                <w:szCs w:val="24"/>
                <w:highlight w:val="none"/>
              </w:rPr>
              <w:t>的技术参数对招标要求的响应情况进行评价：</w:t>
            </w:r>
            <w:r>
              <w:rPr>
                <w:rFonts w:hint="eastAsia" w:ascii="宋体" w:hAnsi="宋体" w:cs="宋体"/>
                <w:color w:val="auto"/>
                <w:kern w:val="0"/>
                <w:sz w:val="24"/>
                <w:szCs w:val="24"/>
                <w:highlight w:val="none"/>
                <w:lang w:bidi="ar"/>
              </w:rPr>
              <w:t>扶手采用ABS，PA一体注塑成型，</w:t>
            </w:r>
            <w:r>
              <w:rPr>
                <w:rFonts w:hint="eastAsia" w:ascii="宋体" w:hAnsi="宋体" w:cs="宋体"/>
                <w:color w:val="auto"/>
                <w:kern w:val="0"/>
                <w:sz w:val="24"/>
                <w:szCs w:val="24"/>
                <w:highlight w:val="none"/>
                <w:lang w:bidi="ar"/>
              </w:rPr>
              <w:t>扶手尺寸210*51*35mm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w:t>
            </w:r>
            <w:r>
              <w:rPr>
                <w:rFonts w:ascii="宋体" w:hAnsi="宋体" w:cs="宋体"/>
                <w:color w:val="auto"/>
                <w:kern w:val="0"/>
                <w:sz w:val="24"/>
                <w:szCs w:val="24"/>
                <w:highlight w:val="none"/>
                <w:lang w:bidi="ar"/>
              </w:rPr>
              <w:t>5</w:t>
            </w:r>
            <w:r>
              <w:rPr>
                <w:rFonts w:hint="eastAsia" w:ascii="宋体" w:hAnsi="宋体" w:cs="宋体"/>
                <w:color w:val="auto"/>
                <w:kern w:val="0"/>
                <w:sz w:val="24"/>
                <w:szCs w:val="24"/>
                <w:highlight w:val="none"/>
                <w:lang w:bidi="ar"/>
              </w:rPr>
              <w:t>mm）</w:t>
            </w:r>
            <w:r>
              <w:rPr>
                <w:rFonts w:hint="eastAsia" w:ascii="宋体" w:hAnsi="宋体" w:cs="宋体"/>
                <w:color w:val="auto"/>
                <w:kern w:val="0"/>
                <w:sz w:val="24"/>
                <w:szCs w:val="24"/>
                <w:highlight w:val="none"/>
                <w:lang w:bidi="ar"/>
              </w:rPr>
              <w:t>，坐垫靠背采用PP耐冲击塑料一体注塑成型。靠背尺寸：415*330mm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±10mm）;坐垫尺寸：450*410mm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r>
              <w:rPr>
                <w:rStyle w:val="17"/>
                <w:rFonts w:hint="default"/>
                <w:color w:val="auto"/>
                <w:sz w:val="24"/>
                <w:szCs w:val="24"/>
                <w:highlight w:val="none"/>
                <w:lang w:bidi="ar"/>
              </w:rPr>
              <w:t>坐垫下装有PP盖板，靠背支撑架采用直径12mm</w:t>
            </w:r>
            <w:r>
              <w:rPr>
                <w:rStyle w:val="17"/>
                <w:rFonts w:hint="default"/>
                <w:color w:val="auto"/>
                <w:sz w:val="24"/>
                <w:szCs w:val="24"/>
                <w:highlight w:val="none"/>
                <w:lang w:bidi="ar"/>
              </w:rPr>
              <w:t>（允许±1mm）</w:t>
            </w:r>
            <w:r>
              <w:rPr>
                <w:rStyle w:val="17"/>
                <w:rFonts w:hint="default"/>
                <w:color w:val="auto"/>
                <w:sz w:val="24"/>
                <w:szCs w:val="24"/>
                <w:highlight w:val="none"/>
                <w:lang w:bidi="ar"/>
              </w:rPr>
              <w:t>钢筋。</w:t>
            </w:r>
            <w:r>
              <w:rPr>
                <w:rFonts w:hint="eastAsia" w:ascii="宋体" w:hAnsi="宋体" w:cs="宋体"/>
                <w:color w:val="auto"/>
                <w:kern w:val="0"/>
                <w:sz w:val="24"/>
                <w:szCs w:val="24"/>
                <w:highlight w:val="none"/>
                <w:lang w:bidi="ar"/>
              </w:rPr>
              <w:t>以上完全满足得3分，需</w:t>
            </w:r>
            <w:r>
              <w:rPr>
                <w:rFonts w:hint="eastAsia" w:ascii="宋体" w:hAnsi="宋体" w:cs="宋体"/>
                <w:color w:val="auto"/>
                <w:sz w:val="24"/>
                <w:szCs w:val="24"/>
                <w:highlight w:val="none"/>
              </w:rPr>
              <w:t>提供实拍图片及文字说明作为佐证材料，</w:t>
            </w:r>
            <w:r>
              <w:rPr>
                <w:rFonts w:hint="eastAsia" w:ascii="宋体" w:hAnsi="宋体" w:cs="宋体"/>
                <w:color w:val="auto"/>
                <w:kern w:val="0"/>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1-9</w:t>
            </w:r>
          </w:p>
        </w:tc>
        <w:tc>
          <w:tcPr>
            <w:tcW w:w="7589"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根据</w:t>
            </w:r>
            <w:r>
              <w:rPr>
                <w:rFonts w:hint="eastAsia" w:ascii="宋体" w:hAnsi="宋体" w:cs="宋体"/>
                <w:color w:val="auto"/>
                <w:sz w:val="24"/>
                <w:szCs w:val="24"/>
                <w:highlight w:val="none"/>
              </w:rPr>
              <w:t>投标人</w:t>
            </w:r>
            <w:r>
              <w:rPr>
                <w:rFonts w:hint="eastAsia" w:ascii="宋体" w:hAnsi="宋体" w:cs="宋体"/>
                <w:color w:val="auto"/>
                <w:sz w:val="24"/>
                <w:szCs w:val="24"/>
                <w:highlight w:val="none"/>
                <w:lang w:val="en-US" w:eastAsia="zh-CN"/>
              </w:rPr>
              <w:t>所投</w:t>
            </w:r>
            <w:r>
              <w:rPr>
                <w:rFonts w:hint="eastAsia" w:ascii="宋体" w:hAnsi="宋体" w:cs="宋体"/>
                <w:color w:val="auto"/>
                <w:kern w:val="0"/>
                <w:sz w:val="24"/>
                <w:szCs w:val="24"/>
                <w:highlight w:val="none"/>
                <w:lang w:bidi="ar"/>
              </w:rPr>
              <w:t>上床下桌两人床中桌下折叠抽屉</w:t>
            </w:r>
            <w:r>
              <w:rPr>
                <w:rFonts w:hint="eastAsia" w:ascii="宋体" w:hAnsi="宋体" w:cs="宋体"/>
                <w:color w:val="auto"/>
                <w:sz w:val="24"/>
                <w:szCs w:val="24"/>
                <w:highlight w:val="none"/>
              </w:rPr>
              <w:t>的技术参数对招标要求的响应情况进行评价：</w:t>
            </w:r>
            <w:r>
              <w:rPr>
                <w:rFonts w:hint="eastAsia" w:ascii="宋体" w:hAnsi="宋体" w:cs="宋体"/>
                <w:color w:val="auto"/>
                <w:kern w:val="0"/>
                <w:sz w:val="24"/>
                <w:szCs w:val="24"/>
                <w:highlight w:val="none"/>
                <w:lang w:bidi="ar"/>
              </w:rPr>
              <w:t>桌子底下折叠抽屉，抽屉折叠部件采用尼龙材质，抽屉底兜采用</w:t>
            </w:r>
            <w:r>
              <w:rPr>
                <w:rFonts w:ascii="宋体" w:hAnsi="宋体" w:cs="宋体"/>
                <w:color w:val="auto"/>
                <w:kern w:val="0"/>
                <w:sz w:val="24"/>
                <w:szCs w:val="24"/>
                <w:highlight w:val="none"/>
                <w:lang w:bidi="ar"/>
              </w:rPr>
              <w:t>PP材质</w:t>
            </w:r>
            <w:r>
              <w:rPr>
                <w:rFonts w:hint="eastAsia" w:ascii="宋体" w:hAnsi="宋体" w:cs="宋体"/>
                <w:color w:val="auto"/>
                <w:kern w:val="0"/>
                <w:sz w:val="24"/>
                <w:szCs w:val="24"/>
                <w:highlight w:val="none"/>
                <w:lang w:bidi="ar"/>
              </w:rPr>
              <w:t>，收纳尺寸：</w:t>
            </w:r>
            <w:r>
              <w:rPr>
                <w:rFonts w:ascii="宋体" w:hAnsi="宋体" w:cs="宋体"/>
                <w:color w:val="auto"/>
                <w:kern w:val="0"/>
                <w:sz w:val="24"/>
                <w:szCs w:val="24"/>
                <w:highlight w:val="none"/>
                <w:lang w:bidi="ar"/>
              </w:rPr>
              <w:t>470*370*80mm</w:t>
            </w:r>
            <w:r>
              <w:rPr>
                <w:rFonts w:hint="eastAsia" w:ascii="宋体" w:hAnsi="宋体" w:cs="宋体"/>
                <w:color w:val="auto"/>
                <w:kern w:val="0"/>
                <w:sz w:val="24"/>
                <w:szCs w:val="24"/>
                <w:highlight w:val="none"/>
                <w:lang w:bidi="ar"/>
              </w:rPr>
              <w:t>（允许±</w:t>
            </w:r>
            <w:r>
              <w:rPr>
                <w:rFonts w:ascii="宋体" w:hAnsi="宋体" w:cs="宋体"/>
                <w:color w:val="auto"/>
                <w:kern w:val="0"/>
                <w:sz w:val="24"/>
                <w:szCs w:val="24"/>
                <w:highlight w:val="none"/>
                <w:lang w:bidi="ar"/>
              </w:rPr>
              <w:t>10mm</w:t>
            </w:r>
            <w:r>
              <w:rPr>
                <w:rFonts w:hint="eastAsia" w:ascii="宋体" w:hAnsi="宋体" w:cs="宋体"/>
                <w:color w:val="auto"/>
                <w:kern w:val="0"/>
                <w:sz w:val="24"/>
                <w:szCs w:val="24"/>
                <w:highlight w:val="none"/>
                <w:lang w:bidi="ar"/>
              </w:rPr>
              <w:t>），打开尺寸</w:t>
            </w:r>
            <w:r>
              <w:rPr>
                <w:rFonts w:ascii="宋体" w:hAnsi="宋体" w:cs="宋体"/>
                <w:color w:val="auto"/>
                <w:kern w:val="0"/>
                <w:sz w:val="24"/>
                <w:szCs w:val="24"/>
                <w:highlight w:val="none"/>
                <w:lang w:bidi="ar"/>
              </w:rPr>
              <w:t>470*275*135mm</w:t>
            </w:r>
            <w:r>
              <w:rPr>
                <w:rFonts w:hint="eastAsia" w:ascii="宋体" w:hAnsi="宋体" w:cs="宋体"/>
                <w:color w:val="auto"/>
                <w:kern w:val="0"/>
                <w:sz w:val="24"/>
                <w:szCs w:val="24"/>
                <w:highlight w:val="none"/>
                <w:lang w:bidi="ar"/>
              </w:rPr>
              <w:t>（允许±</w:t>
            </w:r>
            <w:r>
              <w:rPr>
                <w:rFonts w:ascii="宋体" w:hAnsi="宋体" w:cs="宋体"/>
                <w:color w:val="auto"/>
                <w:kern w:val="0"/>
                <w:sz w:val="24"/>
                <w:szCs w:val="24"/>
                <w:highlight w:val="none"/>
                <w:lang w:bidi="ar"/>
              </w:rPr>
              <w:t>10mm</w:t>
            </w:r>
            <w:r>
              <w:rPr>
                <w:rFonts w:hint="eastAsia" w:ascii="宋体" w:hAnsi="宋体" w:cs="宋体"/>
                <w:color w:val="auto"/>
                <w:kern w:val="0"/>
                <w:sz w:val="24"/>
                <w:szCs w:val="24"/>
                <w:highlight w:val="none"/>
                <w:lang w:bidi="ar"/>
              </w:rPr>
              <w:t>），抽屉内无物品时自动折叠。以上要求完全满足得3分，需</w:t>
            </w:r>
            <w:r>
              <w:rPr>
                <w:rFonts w:hint="eastAsia" w:ascii="宋体" w:hAnsi="宋体" w:cs="宋体"/>
                <w:color w:val="auto"/>
                <w:sz w:val="24"/>
                <w:szCs w:val="24"/>
                <w:highlight w:val="none"/>
              </w:rPr>
              <w:t>提供实拍图片及文字说明作为佐证材料，</w:t>
            </w:r>
            <w:r>
              <w:rPr>
                <w:rFonts w:hint="eastAsia" w:ascii="宋体" w:hAnsi="宋体" w:cs="宋体"/>
                <w:color w:val="auto"/>
                <w:kern w:val="0"/>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1-10</w:t>
            </w:r>
          </w:p>
        </w:tc>
        <w:tc>
          <w:tcPr>
            <w:tcW w:w="7589" w:type="dxa"/>
            <w:tcBorders>
              <w:top w:val="single" w:color="auto" w:sz="4" w:space="0"/>
              <w:left w:val="single" w:color="auto" w:sz="4" w:space="0"/>
              <w:bottom w:val="single" w:color="auto" w:sz="4" w:space="0"/>
              <w:right w:val="single" w:color="auto" w:sz="4" w:space="0"/>
            </w:tcBorders>
          </w:tcPr>
          <w:p>
            <w:pPr>
              <w:pStyle w:val="2"/>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根据投标人</w:t>
            </w:r>
            <w:r>
              <w:rPr>
                <w:rFonts w:hint="eastAsia" w:ascii="宋体" w:hAnsi="宋体" w:cs="宋体"/>
                <w:color w:val="auto"/>
                <w:sz w:val="24"/>
                <w:szCs w:val="24"/>
                <w:highlight w:val="none"/>
                <w:lang w:val="en-US" w:eastAsia="zh-CN"/>
              </w:rPr>
              <w:t>所投</w:t>
            </w:r>
            <w:r>
              <w:rPr>
                <w:rFonts w:hint="eastAsia" w:ascii="宋体" w:hAnsi="宋体" w:cs="宋体"/>
                <w:color w:val="auto"/>
                <w:kern w:val="0"/>
                <w:sz w:val="24"/>
                <w:szCs w:val="24"/>
                <w:highlight w:val="none"/>
                <w:lang w:bidi="ar"/>
              </w:rPr>
              <w:t>上下铺四人床</w:t>
            </w:r>
            <w:r>
              <w:rPr>
                <w:rFonts w:hint="eastAsia" w:ascii="宋体" w:hAnsi="宋体"/>
                <w:bCs/>
                <w:color w:val="auto"/>
                <w:sz w:val="24"/>
                <w:highlight w:val="none"/>
                <w:lang w:bidi="ar"/>
              </w:rPr>
              <w:t>立柱</w:t>
            </w:r>
            <w:r>
              <w:rPr>
                <w:rFonts w:hint="eastAsia" w:ascii="宋体" w:hAnsi="宋体" w:cs="宋体"/>
                <w:color w:val="auto"/>
                <w:sz w:val="24"/>
                <w:szCs w:val="24"/>
                <w:highlight w:val="none"/>
              </w:rPr>
              <w:t>的技术参数对招标要求的响应情况进行评价：</w:t>
            </w:r>
            <w:r>
              <w:rPr>
                <w:rFonts w:hint="eastAsia" w:ascii="宋体" w:hAnsi="宋体" w:cs="宋体"/>
                <w:color w:val="auto"/>
                <w:kern w:val="0"/>
                <w:sz w:val="24"/>
                <w:szCs w:val="24"/>
                <w:highlight w:val="none"/>
                <w:lang w:bidi="ar"/>
              </w:rPr>
              <w:t>立柱采用L形去转角造型 ，宽度35*厚度2.0mm</w:t>
            </w:r>
            <w:r>
              <w:rPr>
                <w:rFonts w:hint="eastAsia" w:ascii="宋体" w:hAnsi="宋体" w:cs="宋体"/>
                <w:color w:val="auto"/>
                <w:kern w:val="0"/>
                <w:sz w:val="24"/>
                <w:szCs w:val="24"/>
                <w:highlight w:val="none"/>
                <w:lang w:bidi="ar"/>
              </w:rPr>
              <w:t>（允许±0.2mm）</w:t>
            </w:r>
            <w:r>
              <w:rPr>
                <w:rFonts w:hint="eastAsia" w:ascii="宋体" w:hAnsi="宋体" w:cs="宋体"/>
                <w:color w:val="auto"/>
                <w:kern w:val="0"/>
                <w:sz w:val="24"/>
                <w:szCs w:val="24"/>
                <w:highlight w:val="none"/>
                <w:lang w:bidi="ar"/>
              </w:rPr>
              <w:t>铝合金挤出成型并高温粉体烤漆,内嵌1845*25*厚度1.5mm</w:t>
            </w:r>
            <w:r>
              <w:rPr>
                <w:rFonts w:hint="eastAsia" w:ascii="宋体" w:hAnsi="宋体" w:cs="宋体"/>
                <w:color w:val="auto"/>
                <w:kern w:val="0"/>
                <w:sz w:val="24"/>
                <w:szCs w:val="24"/>
                <w:highlight w:val="none"/>
                <w:lang w:bidi="ar"/>
              </w:rPr>
              <w:t>（允许±0.2mm）PVC胶条</w:t>
            </w:r>
            <w:r>
              <w:rPr>
                <w:rFonts w:hint="eastAsia" w:ascii="宋体" w:hAnsi="宋体" w:cs="宋体"/>
                <w:color w:val="auto"/>
                <w:kern w:val="0"/>
                <w:sz w:val="24"/>
                <w:szCs w:val="24"/>
                <w:highlight w:val="none"/>
                <w:lang w:bidi="ar"/>
              </w:rPr>
              <w:t>。</w:t>
            </w:r>
            <w:r>
              <w:rPr>
                <w:rFonts w:hint="eastAsia" w:ascii="宋体" w:hAnsi="宋体" w:cs="宋体"/>
                <w:color w:val="auto"/>
                <w:kern w:val="0"/>
                <w:sz w:val="24"/>
                <w:szCs w:val="24"/>
                <w:highlight w:val="none"/>
                <w:lang w:bidi="ar"/>
              </w:rPr>
              <w:t>以上要求完全满足得3分，需</w:t>
            </w:r>
            <w:r>
              <w:rPr>
                <w:rFonts w:hint="eastAsia" w:ascii="宋体" w:hAnsi="宋体" w:cs="宋体"/>
                <w:color w:val="auto"/>
                <w:sz w:val="24"/>
                <w:szCs w:val="24"/>
                <w:highlight w:val="none"/>
              </w:rPr>
              <w:t>提供实拍图片及文字说明作为佐证材料，</w:t>
            </w:r>
            <w:r>
              <w:rPr>
                <w:rFonts w:hint="eastAsia" w:ascii="宋体" w:hAnsi="宋体" w:cs="宋体"/>
                <w:color w:val="auto"/>
                <w:kern w:val="0"/>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1-11</w:t>
            </w:r>
          </w:p>
        </w:tc>
        <w:tc>
          <w:tcPr>
            <w:tcW w:w="7589"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cs="宋体"/>
                <w:color w:val="auto"/>
                <w:sz w:val="24"/>
                <w:szCs w:val="24"/>
                <w:highlight w:val="none"/>
              </w:rPr>
              <w:t>根据</w:t>
            </w:r>
            <w:r>
              <w:rPr>
                <w:rFonts w:hint="eastAsia" w:ascii="宋体" w:hAnsi="宋体" w:cs="宋体"/>
                <w:color w:val="auto"/>
                <w:sz w:val="24"/>
                <w:szCs w:val="24"/>
                <w:highlight w:val="none"/>
              </w:rPr>
              <w:t>投标人提供</w:t>
            </w:r>
            <w:r>
              <w:rPr>
                <w:rFonts w:hint="eastAsia" w:cs="宋体"/>
                <w:color w:val="auto"/>
                <w:sz w:val="24"/>
                <w:szCs w:val="24"/>
                <w:highlight w:val="none"/>
              </w:rPr>
              <w:t>的</w:t>
            </w:r>
            <w:r>
              <w:rPr>
                <w:rFonts w:hint="eastAsia" w:ascii="宋体" w:hAnsi="宋体" w:cs="宋体"/>
                <w:color w:val="auto"/>
                <w:sz w:val="24"/>
                <w:szCs w:val="24"/>
                <w:highlight w:val="none"/>
              </w:rPr>
              <w:t>由</w:t>
            </w:r>
            <w:r>
              <w:rPr>
                <w:rFonts w:hint="eastAsia" w:cs="宋体"/>
                <w:color w:val="auto"/>
                <w:sz w:val="24"/>
                <w:szCs w:val="24"/>
                <w:highlight w:val="none"/>
              </w:rPr>
              <w:t>第三方</w:t>
            </w:r>
            <w:r>
              <w:rPr>
                <w:rFonts w:hint="eastAsia" w:ascii="宋体" w:hAnsi="宋体" w:cs="宋体"/>
                <w:color w:val="auto"/>
                <w:sz w:val="24"/>
                <w:szCs w:val="24"/>
                <w:highlight w:val="none"/>
              </w:rPr>
              <w:t>机构出具的“</w:t>
            </w:r>
            <w:r>
              <w:rPr>
                <w:rStyle w:val="17"/>
                <w:rFonts w:hint="default"/>
                <w:color w:val="auto"/>
                <w:sz w:val="24"/>
                <w:szCs w:val="24"/>
                <w:highlight w:val="none"/>
                <w:lang w:bidi="ar"/>
              </w:rPr>
              <w:t>《颗粒板》</w:t>
            </w:r>
            <w:r>
              <w:rPr>
                <w:rFonts w:hint="eastAsia" w:ascii="宋体" w:hAnsi="宋体" w:cs="宋体"/>
                <w:color w:val="auto"/>
                <w:sz w:val="24"/>
                <w:szCs w:val="24"/>
                <w:highlight w:val="none"/>
              </w:rPr>
              <w:t>”检测</w:t>
            </w:r>
            <w:r>
              <w:rPr>
                <w:rFonts w:hint="eastAsia" w:cs="宋体"/>
                <w:color w:val="auto"/>
                <w:sz w:val="24"/>
                <w:szCs w:val="24"/>
                <w:highlight w:val="none"/>
              </w:rPr>
              <w:t>或</w:t>
            </w:r>
            <w:r>
              <w:rPr>
                <w:rFonts w:hint="eastAsia" w:ascii="宋体" w:hAnsi="宋体" w:cs="宋体"/>
                <w:color w:val="auto"/>
                <w:sz w:val="24"/>
                <w:szCs w:val="24"/>
                <w:highlight w:val="none"/>
              </w:rPr>
              <w:t>检验报告进行评价，检测</w:t>
            </w:r>
            <w:r>
              <w:rPr>
                <w:rFonts w:hint="eastAsia" w:cs="宋体"/>
                <w:color w:val="auto"/>
                <w:sz w:val="24"/>
                <w:szCs w:val="24"/>
                <w:highlight w:val="none"/>
              </w:rPr>
              <w:t>或</w:t>
            </w:r>
            <w:r>
              <w:rPr>
                <w:rFonts w:hint="eastAsia" w:ascii="宋体" w:hAnsi="宋体" w:cs="宋体"/>
                <w:color w:val="auto"/>
                <w:sz w:val="24"/>
                <w:szCs w:val="24"/>
                <w:highlight w:val="none"/>
              </w:rPr>
              <w:t>检验项目内容需包含：</w:t>
            </w:r>
          </w:p>
          <w:p>
            <w:pPr>
              <w:tabs>
                <w:tab w:val="left" w:pos="-1080"/>
                <w:tab w:val="left" w:pos="180"/>
                <w:tab w:val="left" w:pos="1080"/>
                <w:tab w:val="left" w:pos="2370"/>
              </w:tabs>
              <w:spacing w:line="360" w:lineRule="auto"/>
              <w:rPr>
                <w:rStyle w:val="17"/>
                <w:rFonts w:hint="default"/>
                <w:color w:val="auto"/>
                <w:sz w:val="24"/>
                <w:szCs w:val="24"/>
                <w:highlight w:val="none"/>
                <w:lang w:bidi="ar"/>
              </w:rPr>
            </w:pPr>
            <w:r>
              <w:rPr>
                <w:rStyle w:val="17"/>
                <w:rFonts w:hint="default"/>
                <w:color w:val="auto"/>
                <w:sz w:val="24"/>
                <w:szCs w:val="24"/>
                <w:highlight w:val="none"/>
                <w:lang w:bidi="ar"/>
              </w:rPr>
              <w:t>关于绿色产品评价 人造板和木质地板；</w:t>
            </w:r>
          </w:p>
          <w:p>
            <w:pPr>
              <w:tabs>
                <w:tab w:val="left" w:pos="-1080"/>
                <w:tab w:val="left" w:pos="180"/>
                <w:tab w:val="left" w:pos="1080"/>
                <w:tab w:val="left" w:pos="2370"/>
              </w:tabs>
              <w:spacing w:line="360" w:lineRule="auto"/>
              <w:rPr>
                <w:rStyle w:val="17"/>
                <w:rFonts w:hint="default"/>
                <w:color w:val="auto"/>
                <w:sz w:val="24"/>
                <w:szCs w:val="24"/>
                <w:highlight w:val="none"/>
                <w:lang w:bidi="ar"/>
              </w:rPr>
            </w:pPr>
            <w:r>
              <w:rPr>
                <w:rStyle w:val="17"/>
                <w:rFonts w:hint="default"/>
                <w:color w:val="auto"/>
                <w:sz w:val="24"/>
                <w:szCs w:val="24"/>
                <w:highlight w:val="none"/>
                <w:lang w:bidi="ar"/>
              </w:rPr>
              <w:t>甲醛释放量≤0.05mg/m³、挥发性有机化合物（72h）（苯≤10、甲苯≤20、二甲苯≤20）</w:t>
            </w:r>
          </w:p>
          <w:p>
            <w:pPr>
              <w:tabs>
                <w:tab w:val="left" w:pos="-1080"/>
                <w:tab w:val="left" w:pos="180"/>
                <w:tab w:val="left" w:pos="1080"/>
                <w:tab w:val="left" w:pos="2370"/>
              </w:tabs>
              <w:spacing w:line="360" w:lineRule="auto"/>
              <w:rPr>
                <w:color w:val="auto"/>
                <w:highlight w:val="none"/>
              </w:rPr>
            </w:pPr>
            <w:r>
              <w:rPr>
                <w:rFonts w:hint="eastAsia" w:ascii="宋体" w:hAnsi="宋体" w:cs="宋体"/>
                <w:color w:val="auto"/>
                <w:sz w:val="24"/>
                <w:szCs w:val="24"/>
                <w:highlight w:val="none"/>
              </w:rPr>
              <w:t>需提供第三方机构出具的合格的检测</w:t>
            </w:r>
            <w:r>
              <w:rPr>
                <w:rFonts w:hint="eastAsia" w:cs="宋体"/>
                <w:color w:val="auto"/>
                <w:sz w:val="24"/>
                <w:szCs w:val="24"/>
                <w:highlight w:val="none"/>
              </w:rPr>
              <w:t>或</w:t>
            </w:r>
            <w:r>
              <w:rPr>
                <w:rFonts w:hint="eastAsia" w:ascii="宋体" w:hAnsi="宋体" w:cs="宋体"/>
                <w:color w:val="auto"/>
                <w:sz w:val="24"/>
                <w:szCs w:val="24"/>
                <w:highlight w:val="none"/>
              </w:rPr>
              <w:t>检验报告复印件（报告须具有机构资质标识（CMA或CNAS）并盖有检测</w:t>
            </w:r>
            <w:r>
              <w:rPr>
                <w:rFonts w:hint="eastAsia" w:cs="宋体"/>
                <w:color w:val="auto"/>
                <w:sz w:val="24"/>
                <w:szCs w:val="24"/>
                <w:highlight w:val="none"/>
              </w:rPr>
              <w:t>或</w:t>
            </w:r>
            <w:r>
              <w:rPr>
                <w:rFonts w:hint="eastAsia" w:ascii="宋体" w:hAnsi="宋体" w:cs="宋体"/>
                <w:color w:val="auto"/>
                <w:sz w:val="24"/>
                <w:szCs w:val="24"/>
                <w:highlight w:val="none"/>
              </w:rPr>
              <w:t>检验专用章，报告需附有</w:t>
            </w:r>
            <w:r>
              <w:rPr>
                <w:rFonts w:hint="eastAsia" w:ascii="宋体" w:hAnsi="宋体" w:cs="宋体"/>
                <w:color w:val="auto"/>
                <w:sz w:val="24"/>
                <w:szCs w:val="24"/>
                <w:highlight w:val="none"/>
                <w:lang w:bidi="ar"/>
              </w:rPr>
              <w:t>可识别防伪二维码</w:t>
            </w:r>
            <w:r>
              <w:rPr>
                <w:rFonts w:hint="eastAsia" w:ascii="宋体" w:hAnsi="宋体" w:cs="宋体"/>
                <w:color w:val="auto"/>
                <w:sz w:val="24"/>
                <w:szCs w:val="24"/>
                <w:highlight w:val="none"/>
              </w:rPr>
              <w:t>，</w:t>
            </w:r>
            <w:r>
              <w:rPr>
                <w:rFonts w:hint="eastAsia" w:ascii="宋体" w:hAnsi="宋体" w:cs="宋体"/>
                <w:color w:val="auto"/>
                <w:sz w:val="24"/>
                <w:szCs w:val="24"/>
                <w:highlight w:val="none"/>
              </w:rPr>
              <w:t>完全满足以上要求得</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分，</w:t>
            </w:r>
            <w:r>
              <w:rPr>
                <w:rFonts w:hint="eastAsia" w:ascii="宋体" w:hAnsi="宋体" w:cs="宋体"/>
                <w:color w:val="auto"/>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 w:val="left" w:pos="237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2</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1-12</w:t>
            </w:r>
          </w:p>
        </w:tc>
        <w:tc>
          <w:tcPr>
            <w:tcW w:w="7589"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cs="宋体"/>
                <w:color w:val="auto"/>
                <w:sz w:val="24"/>
                <w:szCs w:val="24"/>
                <w:highlight w:val="none"/>
              </w:rPr>
              <w:t>根据</w:t>
            </w:r>
            <w:r>
              <w:rPr>
                <w:rFonts w:hint="eastAsia" w:ascii="宋体" w:hAnsi="宋体" w:cs="宋体"/>
                <w:color w:val="auto"/>
                <w:sz w:val="24"/>
                <w:szCs w:val="24"/>
                <w:highlight w:val="none"/>
              </w:rPr>
              <w:t>投标人提供</w:t>
            </w:r>
            <w:r>
              <w:rPr>
                <w:rFonts w:hint="eastAsia" w:cs="宋体"/>
                <w:color w:val="auto"/>
                <w:sz w:val="24"/>
                <w:szCs w:val="24"/>
                <w:highlight w:val="none"/>
              </w:rPr>
              <w:t>的</w:t>
            </w:r>
            <w:r>
              <w:rPr>
                <w:rFonts w:hint="eastAsia" w:ascii="宋体" w:hAnsi="宋体" w:cs="宋体"/>
                <w:color w:val="auto"/>
                <w:sz w:val="24"/>
                <w:szCs w:val="24"/>
                <w:highlight w:val="none"/>
              </w:rPr>
              <w:t>由</w:t>
            </w:r>
            <w:r>
              <w:rPr>
                <w:rFonts w:hint="eastAsia" w:cs="宋体"/>
                <w:color w:val="auto"/>
                <w:sz w:val="24"/>
                <w:szCs w:val="24"/>
                <w:highlight w:val="none"/>
              </w:rPr>
              <w:t>第三方</w:t>
            </w:r>
            <w:r>
              <w:rPr>
                <w:rFonts w:hint="eastAsia" w:ascii="宋体" w:hAnsi="宋体" w:cs="宋体"/>
                <w:color w:val="auto"/>
                <w:sz w:val="24"/>
                <w:szCs w:val="24"/>
                <w:highlight w:val="none"/>
              </w:rPr>
              <w:t>机构出具的“</w:t>
            </w:r>
            <w:r>
              <w:rPr>
                <w:rStyle w:val="17"/>
                <w:rFonts w:hint="default"/>
                <w:color w:val="auto"/>
                <w:sz w:val="24"/>
                <w:szCs w:val="24"/>
                <w:highlight w:val="none"/>
                <w:lang w:bidi="ar"/>
              </w:rPr>
              <w:t>《烤漆粉》</w:t>
            </w:r>
            <w:r>
              <w:rPr>
                <w:rFonts w:hint="eastAsia" w:ascii="宋体" w:hAnsi="宋体" w:cs="宋体"/>
                <w:color w:val="auto"/>
                <w:sz w:val="24"/>
                <w:szCs w:val="24"/>
                <w:highlight w:val="none"/>
              </w:rPr>
              <w:t>”检测</w:t>
            </w:r>
            <w:r>
              <w:rPr>
                <w:rFonts w:hint="eastAsia" w:cs="宋体"/>
                <w:color w:val="auto"/>
                <w:sz w:val="24"/>
                <w:szCs w:val="24"/>
                <w:highlight w:val="none"/>
              </w:rPr>
              <w:t>或</w:t>
            </w:r>
            <w:r>
              <w:rPr>
                <w:rFonts w:hint="eastAsia" w:ascii="宋体" w:hAnsi="宋体" w:cs="宋体"/>
                <w:color w:val="auto"/>
                <w:sz w:val="24"/>
                <w:szCs w:val="24"/>
                <w:highlight w:val="none"/>
              </w:rPr>
              <w:t>检验报告进行评价，检测</w:t>
            </w:r>
            <w:r>
              <w:rPr>
                <w:rFonts w:hint="eastAsia" w:cs="宋体"/>
                <w:color w:val="auto"/>
                <w:sz w:val="24"/>
                <w:szCs w:val="24"/>
                <w:highlight w:val="none"/>
              </w:rPr>
              <w:t>或</w:t>
            </w:r>
            <w:r>
              <w:rPr>
                <w:rFonts w:hint="eastAsia" w:ascii="宋体" w:hAnsi="宋体" w:cs="宋体"/>
                <w:color w:val="auto"/>
                <w:sz w:val="24"/>
                <w:szCs w:val="24"/>
                <w:highlight w:val="none"/>
              </w:rPr>
              <w:t>检验项目内容需包含：</w:t>
            </w:r>
          </w:p>
          <w:p>
            <w:pPr>
              <w:tabs>
                <w:tab w:val="left" w:pos="-1080"/>
                <w:tab w:val="left" w:pos="180"/>
                <w:tab w:val="left" w:pos="1080"/>
                <w:tab w:val="left" w:pos="2370"/>
              </w:tabs>
              <w:spacing w:line="360" w:lineRule="auto"/>
              <w:rPr>
                <w:rStyle w:val="17"/>
                <w:rFonts w:hint="default"/>
                <w:color w:val="auto"/>
                <w:sz w:val="24"/>
                <w:szCs w:val="24"/>
                <w:highlight w:val="none"/>
                <w:lang w:bidi="ar"/>
              </w:rPr>
            </w:pPr>
            <w:r>
              <w:rPr>
                <w:rStyle w:val="17"/>
                <w:rFonts w:hint="default"/>
                <w:color w:val="auto"/>
                <w:sz w:val="24"/>
                <w:szCs w:val="24"/>
                <w:highlight w:val="none"/>
                <w:lang w:bidi="ar"/>
              </w:rPr>
              <w:t>关于热固性和热塑性粉末涂料；</w:t>
            </w:r>
          </w:p>
          <w:p>
            <w:pPr>
              <w:tabs>
                <w:tab w:val="left" w:pos="-1080"/>
                <w:tab w:val="left" w:pos="180"/>
                <w:tab w:val="left" w:pos="1080"/>
                <w:tab w:val="left" w:pos="2370"/>
              </w:tabs>
              <w:spacing w:line="360" w:lineRule="auto"/>
              <w:rPr>
                <w:rStyle w:val="17"/>
                <w:rFonts w:hint="default"/>
                <w:color w:val="auto"/>
                <w:sz w:val="24"/>
                <w:szCs w:val="24"/>
                <w:highlight w:val="none"/>
                <w:lang w:bidi="ar"/>
              </w:rPr>
            </w:pPr>
            <w:r>
              <w:rPr>
                <w:rStyle w:val="17"/>
                <w:rFonts w:hint="default"/>
                <w:color w:val="auto"/>
                <w:sz w:val="24"/>
                <w:szCs w:val="24"/>
                <w:highlight w:val="none"/>
                <w:lang w:bidi="ar"/>
              </w:rPr>
              <w:t>铅笔硬度（内聚破坏中擦伤）≥H、耐磨性≤50；</w:t>
            </w:r>
          </w:p>
          <w:p>
            <w:pPr>
              <w:tabs>
                <w:tab w:val="left" w:pos="-1080"/>
                <w:tab w:val="left" w:pos="180"/>
                <w:tab w:val="left" w:pos="1080"/>
                <w:tab w:val="left" w:pos="2370"/>
              </w:tabs>
              <w:spacing w:line="360" w:lineRule="auto"/>
              <w:jc w:val="left"/>
              <w:rPr>
                <w:rFonts w:ascii="宋体" w:hAnsi="宋体" w:cs="宋体"/>
                <w:bCs/>
                <w:color w:val="auto"/>
                <w:sz w:val="24"/>
                <w:szCs w:val="24"/>
                <w:highlight w:val="none"/>
              </w:rPr>
            </w:pPr>
            <w:r>
              <w:rPr>
                <w:rFonts w:hint="eastAsia" w:ascii="宋体" w:hAnsi="宋体" w:cs="宋体"/>
                <w:color w:val="auto"/>
                <w:sz w:val="24"/>
                <w:szCs w:val="24"/>
                <w:highlight w:val="none"/>
              </w:rPr>
              <w:t>需提供第三方机构出具的合格的检测</w:t>
            </w:r>
            <w:r>
              <w:rPr>
                <w:rFonts w:hint="eastAsia" w:cs="宋体"/>
                <w:color w:val="auto"/>
                <w:sz w:val="24"/>
                <w:szCs w:val="24"/>
                <w:highlight w:val="none"/>
              </w:rPr>
              <w:t>或</w:t>
            </w:r>
            <w:r>
              <w:rPr>
                <w:rFonts w:hint="eastAsia" w:ascii="宋体" w:hAnsi="宋体" w:cs="宋体"/>
                <w:color w:val="auto"/>
                <w:sz w:val="24"/>
                <w:szCs w:val="24"/>
                <w:highlight w:val="none"/>
              </w:rPr>
              <w:t>检验报告复印件（报告须具有机构资质标识（CMA或CNAS）并盖有检测</w:t>
            </w:r>
            <w:r>
              <w:rPr>
                <w:rFonts w:hint="eastAsia" w:cs="宋体"/>
                <w:color w:val="auto"/>
                <w:sz w:val="24"/>
                <w:szCs w:val="24"/>
                <w:highlight w:val="none"/>
              </w:rPr>
              <w:t>或</w:t>
            </w:r>
            <w:r>
              <w:rPr>
                <w:rFonts w:hint="eastAsia" w:ascii="宋体" w:hAnsi="宋体" w:cs="宋体"/>
                <w:color w:val="auto"/>
                <w:sz w:val="24"/>
                <w:szCs w:val="24"/>
                <w:highlight w:val="none"/>
              </w:rPr>
              <w:t>检验专用章，报告需附有</w:t>
            </w:r>
            <w:r>
              <w:rPr>
                <w:rFonts w:hint="eastAsia" w:ascii="宋体" w:hAnsi="宋体" w:cs="宋体"/>
                <w:color w:val="auto"/>
                <w:sz w:val="24"/>
                <w:szCs w:val="24"/>
                <w:highlight w:val="none"/>
                <w:lang w:bidi="ar"/>
              </w:rPr>
              <w:t>可识别防伪二维码</w:t>
            </w:r>
            <w:r>
              <w:rPr>
                <w:rFonts w:hint="eastAsia" w:ascii="宋体" w:hAnsi="宋体" w:cs="宋体"/>
                <w:color w:val="auto"/>
                <w:sz w:val="24"/>
                <w:szCs w:val="24"/>
                <w:highlight w:val="none"/>
              </w:rPr>
              <w:t>，</w:t>
            </w:r>
            <w:r>
              <w:rPr>
                <w:rFonts w:hint="eastAsia" w:ascii="宋体" w:hAnsi="宋体" w:cs="宋体"/>
                <w:color w:val="auto"/>
                <w:sz w:val="24"/>
                <w:szCs w:val="24"/>
                <w:highlight w:val="none"/>
              </w:rPr>
              <w:t>完全满足以上要求得</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分，</w:t>
            </w:r>
            <w:r>
              <w:rPr>
                <w:rFonts w:hint="eastAsia" w:ascii="宋体" w:hAnsi="宋体" w:cs="宋体"/>
                <w:color w:val="auto"/>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 w:val="left" w:pos="237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2</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1-13</w:t>
            </w:r>
          </w:p>
        </w:tc>
        <w:tc>
          <w:tcPr>
            <w:tcW w:w="7589"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 w:val="left" w:pos="2370"/>
              </w:tabs>
              <w:spacing w:line="360" w:lineRule="auto"/>
              <w:jc w:val="left"/>
              <w:rPr>
                <w:rFonts w:ascii="宋体" w:hAnsi="宋体" w:cs="宋体"/>
                <w:color w:val="auto"/>
                <w:sz w:val="24"/>
                <w:szCs w:val="24"/>
                <w:highlight w:val="none"/>
              </w:rPr>
            </w:pPr>
            <w:r>
              <w:rPr>
                <w:rFonts w:hint="eastAsia" w:cs="宋体"/>
                <w:color w:val="auto"/>
                <w:sz w:val="24"/>
                <w:szCs w:val="24"/>
                <w:highlight w:val="none"/>
              </w:rPr>
              <w:t>根据</w:t>
            </w:r>
            <w:r>
              <w:rPr>
                <w:rFonts w:hint="eastAsia" w:ascii="宋体" w:hAnsi="宋体" w:cs="宋体"/>
                <w:color w:val="auto"/>
                <w:sz w:val="24"/>
                <w:szCs w:val="24"/>
                <w:highlight w:val="none"/>
              </w:rPr>
              <w:t>投标人提供</w:t>
            </w:r>
            <w:r>
              <w:rPr>
                <w:rFonts w:hint="eastAsia" w:cs="宋体"/>
                <w:color w:val="auto"/>
                <w:sz w:val="24"/>
                <w:szCs w:val="24"/>
                <w:highlight w:val="none"/>
              </w:rPr>
              <w:t>的</w:t>
            </w:r>
            <w:r>
              <w:rPr>
                <w:rFonts w:hint="eastAsia" w:ascii="宋体" w:hAnsi="宋体" w:cs="宋体"/>
                <w:color w:val="auto"/>
                <w:sz w:val="24"/>
                <w:szCs w:val="24"/>
                <w:highlight w:val="none"/>
              </w:rPr>
              <w:t>由</w:t>
            </w:r>
            <w:r>
              <w:rPr>
                <w:rFonts w:hint="eastAsia" w:cs="宋体"/>
                <w:color w:val="auto"/>
                <w:sz w:val="24"/>
                <w:szCs w:val="24"/>
                <w:highlight w:val="none"/>
              </w:rPr>
              <w:t>第三方</w:t>
            </w:r>
            <w:r>
              <w:rPr>
                <w:rFonts w:hint="eastAsia" w:ascii="宋体" w:hAnsi="宋体" w:cs="宋体"/>
                <w:color w:val="auto"/>
                <w:sz w:val="24"/>
                <w:szCs w:val="24"/>
                <w:highlight w:val="none"/>
              </w:rPr>
              <w:t>机构出具的“</w:t>
            </w:r>
            <w:r>
              <w:rPr>
                <w:rStyle w:val="17"/>
                <w:rFonts w:hint="default"/>
                <w:color w:val="auto"/>
                <w:sz w:val="24"/>
                <w:szCs w:val="24"/>
                <w:highlight w:val="none"/>
                <w:lang w:bidi="ar"/>
              </w:rPr>
              <w:t>《宿舍床》</w:t>
            </w:r>
            <w:r>
              <w:rPr>
                <w:rFonts w:hint="eastAsia" w:ascii="宋体" w:hAnsi="宋体" w:cs="宋体"/>
                <w:color w:val="auto"/>
                <w:sz w:val="24"/>
                <w:szCs w:val="24"/>
                <w:highlight w:val="none"/>
              </w:rPr>
              <w:t>”检测</w:t>
            </w:r>
            <w:r>
              <w:rPr>
                <w:rFonts w:hint="eastAsia" w:cs="宋体"/>
                <w:color w:val="auto"/>
                <w:sz w:val="24"/>
                <w:szCs w:val="24"/>
                <w:highlight w:val="none"/>
              </w:rPr>
              <w:t>或</w:t>
            </w:r>
            <w:r>
              <w:rPr>
                <w:rFonts w:hint="eastAsia" w:ascii="宋体" w:hAnsi="宋体" w:cs="宋体"/>
                <w:color w:val="auto"/>
                <w:sz w:val="24"/>
                <w:szCs w:val="24"/>
                <w:highlight w:val="none"/>
              </w:rPr>
              <w:t>检验报告进行评价，检测</w:t>
            </w:r>
            <w:r>
              <w:rPr>
                <w:rFonts w:hint="eastAsia" w:cs="宋体"/>
                <w:color w:val="auto"/>
                <w:sz w:val="24"/>
                <w:szCs w:val="24"/>
                <w:highlight w:val="none"/>
              </w:rPr>
              <w:t>或</w:t>
            </w:r>
            <w:r>
              <w:rPr>
                <w:rFonts w:hint="eastAsia" w:ascii="宋体" w:hAnsi="宋体" w:cs="宋体"/>
                <w:color w:val="auto"/>
                <w:sz w:val="24"/>
                <w:szCs w:val="24"/>
                <w:highlight w:val="none"/>
              </w:rPr>
              <w:t>检验项目内容需包含：</w:t>
            </w:r>
          </w:p>
          <w:p>
            <w:pPr>
              <w:tabs>
                <w:tab w:val="left" w:pos="-1080"/>
                <w:tab w:val="left" w:pos="180"/>
                <w:tab w:val="left" w:pos="1080"/>
                <w:tab w:val="left" w:pos="2370"/>
              </w:tabs>
              <w:spacing w:line="360" w:lineRule="auto"/>
              <w:jc w:val="left"/>
              <w:rPr>
                <w:rFonts w:hint="default" w:ascii="宋体" w:hAnsi="宋体" w:cs="宋体"/>
                <w:color w:val="auto"/>
                <w:sz w:val="24"/>
                <w:szCs w:val="24"/>
                <w:highlight w:val="none"/>
              </w:rPr>
            </w:pPr>
            <w:r>
              <w:rPr>
                <w:rFonts w:hint="eastAsia" w:ascii="宋体" w:hAnsi="宋体" w:cs="宋体"/>
                <w:color w:val="auto"/>
                <w:sz w:val="24"/>
                <w:szCs w:val="24"/>
                <w:highlight w:val="none"/>
              </w:rPr>
              <w:t>关于金属家具通用技术条件、家具用钢构件、碳素结构钢、绿色产品评价 家具；</w:t>
            </w:r>
          </w:p>
          <w:p>
            <w:pPr>
              <w:tabs>
                <w:tab w:val="left" w:pos="-1080"/>
                <w:tab w:val="left" w:pos="180"/>
                <w:tab w:val="left" w:pos="1080"/>
                <w:tab w:val="left" w:pos="2370"/>
              </w:tabs>
              <w:spacing w:line="360" w:lineRule="auto"/>
              <w:jc w:val="left"/>
              <w:rPr>
                <w:rFonts w:ascii="宋体" w:hAnsi="宋体" w:cs="宋体"/>
                <w:bCs/>
                <w:color w:val="auto"/>
                <w:sz w:val="24"/>
                <w:szCs w:val="24"/>
                <w:highlight w:val="none"/>
              </w:rPr>
            </w:pPr>
            <w:r>
              <w:rPr>
                <w:rFonts w:hint="eastAsia" w:ascii="宋体" w:hAnsi="宋体" w:cs="宋体"/>
                <w:bCs/>
                <w:color w:val="auto"/>
                <w:sz w:val="24"/>
                <w:szCs w:val="24"/>
                <w:highlight w:val="none"/>
              </w:rPr>
              <w:t>金属件外观要求合格、金属喷漆（塑）涂层≥H、产品表面涂层理化性能60~130、力学性能315-430、总挥发性有机化合物TVOC≤0.3mg/m3；</w:t>
            </w:r>
          </w:p>
          <w:p>
            <w:pPr>
              <w:tabs>
                <w:tab w:val="left" w:pos="-1080"/>
                <w:tab w:val="left" w:pos="180"/>
                <w:tab w:val="left" w:pos="1080"/>
                <w:tab w:val="left" w:pos="2370"/>
              </w:tabs>
              <w:spacing w:line="360" w:lineRule="auto"/>
              <w:jc w:val="left"/>
              <w:rPr>
                <w:rFonts w:ascii="宋体" w:hAnsi="宋体" w:cs="宋体"/>
                <w:bCs/>
                <w:color w:val="auto"/>
                <w:sz w:val="24"/>
                <w:szCs w:val="24"/>
                <w:highlight w:val="none"/>
              </w:rPr>
            </w:pPr>
            <w:r>
              <w:rPr>
                <w:rFonts w:hint="eastAsia" w:ascii="宋体" w:hAnsi="宋体" w:cs="宋体"/>
                <w:color w:val="auto"/>
                <w:sz w:val="24"/>
                <w:szCs w:val="24"/>
                <w:highlight w:val="none"/>
              </w:rPr>
              <w:t>需提供第三方机构出具的合格的检测</w:t>
            </w:r>
            <w:r>
              <w:rPr>
                <w:rFonts w:hint="eastAsia" w:cs="宋体"/>
                <w:color w:val="auto"/>
                <w:sz w:val="24"/>
                <w:szCs w:val="24"/>
                <w:highlight w:val="none"/>
              </w:rPr>
              <w:t>或</w:t>
            </w:r>
            <w:r>
              <w:rPr>
                <w:rFonts w:hint="eastAsia" w:ascii="宋体" w:hAnsi="宋体" w:cs="宋体"/>
                <w:color w:val="auto"/>
                <w:sz w:val="24"/>
                <w:szCs w:val="24"/>
                <w:highlight w:val="none"/>
              </w:rPr>
              <w:t>检验报告复印件（报告须具有机构资质标识（CMA或CNAS）并盖有检测</w:t>
            </w:r>
            <w:r>
              <w:rPr>
                <w:rFonts w:hint="eastAsia" w:cs="宋体"/>
                <w:color w:val="auto"/>
                <w:sz w:val="24"/>
                <w:szCs w:val="24"/>
                <w:highlight w:val="none"/>
              </w:rPr>
              <w:t>或</w:t>
            </w:r>
            <w:r>
              <w:rPr>
                <w:rFonts w:hint="eastAsia" w:ascii="宋体" w:hAnsi="宋体" w:cs="宋体"/>
                <w:color w:val="auto"/>
                <w:sz w:val="24"/>
                <w:szCs w:val="24"/>
                <w:highlight w:val="none"/>
              </w:rPr>
              <w:t>检验专用章，报告需附有</w:t>
            </w:r>
            <w:r>
              <w:rPr>
                <w:rFonts w:hint="eastAsia" w:ascii="宋体" w:hAnsi="宋体" w:cs="宋体"/>
                <w:color w:val="auto"/>
                <w:sz w:val="24"/>
                <w:szCs w:val="24"/>
                <w:highlight w:val="none"/>
                <w:lang w:bidi="ar"/>
              </w:rPr>
              <w:t>可识别防伪二维码</w:t>
            </w:r>
            <w:r>
              <w:rPr>
                <w:rFonts w:hint="eastAsia" w:ascii="宋体" w:hAnsi="宋体" w:cs="宋体"/>
                <w:color w:val="auto"/>
                <w:sz w:val="24"/>
                <w:szCs w:val="24"/>
                <w:highlight w:val="none"/>
              </w:rPr>
              <w:t>，</w:t>
            </w:r>
            <w:r>
              <w:rPr>
                <w:rFonts w:hint="eastAsia" w:ascii="宋体" w:hAnsi="宋体" w:cs="宋体"/>
                <w:color w:val="auto"/>
                <w:sz w:val="24"/>
                <w:szCs w:val="24"/>
                <w:highlight w:val="none"/>
              </w:rPr>
              <w:t>完全满足以上要求得3分，</w:t>
            </w:r>
            <w:r>
              <w:rPr>
                <w:rFonts w:hint="eastAsia" w:ascii="宋体" w:hAnsi="宋体" w:cs="宋体"/>
                <w:color w:val="auto"/>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 w:val="left" w:pos="237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1-14</w:t>
            </w:r>
          </w:p>
        </w:tc>
        <w:tc>
          <w:tcPr>
            <w:tcW w:w="7589"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 w:val="left" w:pos="2370"/>
              </w:tabs>
              <w:spacing w:line="360" w:lineRule="auto"/>
              <w:jc w:val="left"/>
              <w:rPr>
                <w:rFonts w:ascii="宋体" w:hAnsi="宋体" w:cs="宋体"/>
                <w:color w:val="auto"/>
                <w:sz w:val="24"/>
                <w:szCs w:val="24"/>
                <w:highlight w:val="none"/>
              </w:rPr>
            </w:pPr>
            <w:r>
              <w:rPr>
                <w:rFonts w:hint="eastAsia" w:cs="宋体"/>
                <w:color w:val="auto"/>
                <w:sz w:val="24"/>
                <w:szCs w:val="24"/>
                <w:highlight w:val="none"/>
              </w:rPr>
              <w:t>根据</w:t>
            </w:r>
            <w:r>
              <w:rPr>
                <w:rFonts w:hint="eastAsia" w:ascii="宋体" w:hAnsi="宋体" w:cs="宋体"/>
                <w:color w:val="auto"/>
                <w:sz w:val="24"/>
                <w:szCs w:val="24"/>
                <w:highlight w:val="none"/>
              </w:rPr>
              <w:t>投标人提供</w:t>
            </w:r>
            <w:r>
              <w:rPr>
                <w:rFonts w:hint="eastAsia" w:cs="宋体"/>
                <w:color w:val="auto"/>
                <w:sz w:val="24"/>
                <w:szCs w:val="24"/>
                <w:highlight w:val="none"/>
              </w:rPr>
              <w:t>的</w:t>
            </w:r>
            <w:r>
              <w:rPr>
                <w:rFonts w:hint="eastAsia" w:ascii="宋体" w:hAnsi="宋体" w:cs="宋体"/>
                <w:color w:val="auto"/>
                <w:sz w:val="24"/>
                <w:szCs w:val="24"/>
                <w:highlight w:val="none"/>
              </w:rPr>
              <w:t>由</w:t>
            </w:r>
            <w:r>
              <w:rPr>
                <w:rFonts w:hint="eastAsia" w:cs="宋体"/>
                <w:color w:val="auto"/>
                <w:sz w:val="24"/>
                <w:szCs w:val="24"/>
                <w:highlight w:val="none"/>
              </w:rPr>
              <w:t>第三方</w:t>
            </w:r>
            <w:r>
              <w:rPr>
                <w:rFonts w:hint="eastAsia" w:ascii="宋体" w:hAnsi="宋体" w:cs="宋体"/>
                <w:color w:val="auto"/>
                <w:sz w:val="24"/>
                <w:szCs w:val="24"/>
                <w:highlight w:val="none"/>
              </w:rPr>
              <w:t>机构出具的“</w:t>
            </w:r>
            <w:r>
              <w:rPr>
                <w:rStyle w:val="17"/>
                <w:rFonts w:hint="default"/>
                <w:color w:val="auto"/>
                <w:sz w:val="24"/>
                <w:szCs w:val="24"/>
                <w:highlight w:val="none"/>
                <w:lang w:bidi="ar"/>
              </w:rPr>
              <w:t>《</w:t>
            </w:r>
            <w:r>
              <w:rPr>
                <w:rFonts w:hint="eastAsia" w:ascii="宋体" w:hAnsi="宋体" w:cs="宋体"/>
                <w:bCs/>
                <w:color w:val="auto"/>
                <w:kern w:val="0"/>
                <w:sz w:val="24"/>
                <w:szCs w:val="24"/>
                <w:highlight w:val="none"/>
                <w:lang w:bidi="ar"/>
              </w:rPr>
              <w:t>PP粒子</w:t>
            </w:r>
            <w:r>
              <w:rPr>
                <w:rStyle w:val="17"/>
                <w:rFonts w:hint="default"/>
                <w:color w:val="auto"/>
                <w:sz w:val="24"/>
                <w:szCs w:val="24"/>
                <w:highlight w:val="none"/>
                <w:lang w:bidi="ar"/>
              </w:rPr>
              <w:t>》</w:t>
            </w:r>
            <w:r>
              <w:rPr>
                <w:rFonts w:hint="eastAsia" w:ascii="宋体" w:hAnsi="宋体" w:cs="宋体"/>
                <w:color w:val="auto"/>
                <w:sz w:val="24"/>
                <w:szCs w:val="24"/>
                <w:highlight w:val="none"/>
              </w:rPr>
              <w:t>”检测</w:t>
            </w:r>
            <w:r>
              <w:rPr>
                <w:rFonts w:hint="eastAsia" w:cs="宋体"/>
                <w:color w:val="auto"/>
                <w:sz w:val="24"/>
                <w:szCs w:val="24"/>
                <w:highlight w:val="none"/>
              </w:rPr>
              <w:t>或</w:t>
            </w:r>
            <w:r>
              <w:rPr>
                <w:rFonts w:hint="eastAsia" w:ascii="宋体" w:hAnsi="宋体" w:cs="宋体"/>
                <w:color w:val="auto"/>
                <w:sz w:val="24"/>
                <w:szCs w:val="24"/>
                <w:highlight w:val="none"/>
              </w:rPr>
              <w:t>检验报告进行评价，检测</w:t>
            </w:r>
            <w:r>
              <w:rPr>
                <w:rFonts w:hint="eastAsia" w:cs="宋体"/>
                <w:color w:val="auto"/>
                <w:sz w:val="24"/>
                <w:szCs w:val="24"/>
                <w:highlight w:val="none"/>
              </w:rPr>
              <w:t>或</w:t>
            </w:r>
            <w:r>
              <w:rPr>
                <w:rFonts w:hint="eastAsia" w:ascii="宋体" w:hAnsi="宋体" w:cs="宋体"/>
                <w:color w:val="auto"/>
                <w:sz w:val="24"/>
                <w:szCs w:val="24"/>
                <w:highlight w:val="none"/>
              </w:rPr>
              <w:t>检验项目内容需包含：</w:t>
            </w:r>
          </w:p>
          <w:p>
            <w:pPr>
              <w:tabs>
                <w:tab w:val="left" w:pos="-1080"/>
                <w:tab w:val="left" w:pos="180"/>
                <w:tab w:val="left" w:pos="1080"/>
                <w:tab w:val="left" w:pos="2370"/>
              </w:tabs>
              <w:spacing w:line="360" w:lineRule="auto"/>
              <w:jc w:val="left"/>
              <w:rPr>
                <w:rFonts w:ascii="宋体" w:hAnsi="宋体" w:cs="宋体"/>
                <w:bCs/>
                <w:color w:val="auto"/>
                <w:kern w:val="0"/>
                <w:sz w:val="24"/>
                <w:szCs w:val="24"/>
                <w:highlight w:val="none"/>
                <w:lang w:bidi="ar"/>
              </w:rPr>
            </w:pPr>
            <w:r>
              <w:rPr>
                <w:rFonts w:hint="eastAsia" w:ascii="宋体" w:hAnsi="宋体" w:cs="宋体"/>
                <w:color w:val="auto"/>
                <w:sz w:val="24"/>
                <w:szCs w:val="24"/>
                <w:highlight w:val="none"/>
              </w:rPr>
              <w:t>关于塑料家具中的有害物质限量、食品安全国家标准 食品接触用塑料树脂；</w:t>
            </w:r>
            <w:r>
              <w:rPr>
                <w:rFonts w:hint="eastAsia" w:ascii="宋体" w:hAnsi="宋体" w:cs="宋体"/>
                <w:bCs/>
                <w:color w:val="auto"/>
                <w:kern w:val="0"/>
                <w:sz w:val="24"/>
                <w:szCs w:val="24"/>
                <w:highlight w:val="none"/>
                <w:lang w:bidi="ar"/>
              </w:rPr>
              <w:t>邻苯二甲酸酯≤0.1、重金属（可溶性铅≤90mg/kg、可溶性镉≤75mg/kg、可溶性铬≤60mg/kg、可溶性汞≤60mg/kg）、维卡软化温度检测判定基准：≥53℃，悬臂梁缺口冲击强度检测判定基准：≥53，邵氏硬度（D型）≥52；</w:t>
            </w:r>
          </w:p>
          <w:p>
            <w:pPr>
              <w:tabs>
                <w:tab w:val="left" w:pos="-1080"/>
                <w:tab w:val="left" w:pos="180"/>
                <w:tab w:val="left" w:pos="1080"/>
                <w:tab w:val="left" w:pos="2370"/>
              </w:tabs>
              <w:spacing w:line="360" w:lineRule="auto"/>
              <w:jc w:val="left"/>
              <w:rPr>
                <w:rFonts w:ascii="宋体" w:hAnsi="宋体" w:cs="宋体"/>
                <w:bCs/>
                <w:color w:val="auto"/>
                <w:sz w:val="24"/>
                <w:szCs w:val="24"/>
                <w:highlight w:val="none"/>
              </w:rPr>
            </w:pPr>
            <w:r>
              <w:rPr>
                <w:rFonts w:hint="eastAsia" w:ascii="宋体" w:hAnsi="宋体" w:cs="宋体"/>
                <w:color w:val="auto"/>
                <w:sz w:val="24"/>
                <w:szCs w:val="24"/>
                <w:highlight w:val="none"/>
              </w:rPr>
              <w:t>需提供第三方机构出具的合格的检测</w:t>
            </w:r>
            <w:r>
              <w:rPr>
                <w:rFonts w:hint="eastAsia" w:cs="宋体"/>
                <w:color w:val="auto"/>
                <w:sz w:val="24"/>
                <w:szCs w:val="24"/>
                <w:highlight w:val="none"/>
              </w:rPr>
              <w:t>或</w:t>
            </w:r>
            <w:r>
              <w:rPr>
                <w:rFonts w:hint="eastAsia" w:ascii="宋体" w:hAnsi="宋体" w:cs="宋体"/>
                <w:color w:val="auto"/>
                <w:sz w:val="24"/>
                <w:szCs w:val="24"/>
                <w:highlight w:val="none"/>
              </w:rPr>
              <w:t>检验报告复印件（报告须具有机构资质标识（CMA或CNAS）并盖有检测</w:t>
            </w:r>
            <w:r>
              <w:rPr>
                <w:rFonts w:hint="eastAsia" w:cs="宋体"/>
                <w:color w:val="auto"/>
                <w:sz w:val="24"/>
                <w:szCs w:val="24"/>
                <w:highlight w:val="none"/>
              </w:rPr>
              <w:t>或</w:t>
            </w:r>
            <w:r>
              <w:rPr>
                <w:rFonts w:hint="eastAsia" w:ascii="宋体" w:hAnsi="宋体" w:cs="宋体"/>
                <w:color w:val="auto"/>
                <w:sz w:val="24"/>
                <w:szCs w:val="24"/>
                <w:highlight w:val="none"/>
              </w:rPr>
              <w:t>检验专用章，报告需附有</w:t>
            </w:r>
            <w:r>
              <w:rPr>
                <w:rFonts w:hint="eastAsia" w:ascii="宋体" w:hAnsi="宋体" w:cs="宋体"/>
                <w:color w:val="auto"/>
                <w:sz w:val="24"/>
                <w:szCs w:val="24"/>
                <w:highlight w:val="none"/>
                <w:lang w:bidi="ar"/>
              </w:rPr>
              <w:t>可识别防伪二维码</w:t>
            </w:r>
            <w:r>
              <w:rPr>
                <w:rFonts w:hint="eastAsia" w:ascii="宋体" w:hAnsi="宋体" w:cs="宋体"/>
                <w:color w:val="auto"/>
                <w:sz w:val="24"/>
                <w:szCs w:val="24"/>
                <w:highlight w:val="none"/>
              </w:rPr>
              <w:t>，</w:t>
            </w:r>
            <w:r>
              <w:rPr>
                <w:rFonts w:hint="eastAsia" w:ascii="宋体" w:hAnsi="宋体" w:cs="宋体"/>
                <w:color w:val="auto"/>
                <w:sz w:val="24"/>
                <w:szCs w:val="24"/>
                <w:highlight w:val="none"/>
              </w:rPr>
              <w:t>完全满足以上要求得</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分，</w:t>
            </w:r>
            <w:r>
              <w:rPr>
                <w:rFonts w:hint="eastAsia" w:ascii="宋体" w:hAnsi="宋体" w:cs="宋体"/>
                <w:color w:val="auto"/>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 w:val="left" w:pos="237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2</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1-15</w:t>
            </w:r>
          </w:p>
        </w:tc>
        <w:tc>
          <w:tcPr>
            <w:tcW w:w="7589"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cs="宋体"/>
                <w:color w:val="auto"/>
                <w:sz w:val="24"/>
                <w:szCs w:val="24"/>
                <w:highlight w:val="none"/>
              </w:rPr>
              <w:t>根据</w:t>
            </w:r>
            <w:r>
              <w:rPr>
                <w:rFonts w:hint="eastAsia" w:ascii="宋体" w:hAnsi="宋体" w:cs="宋体"/>
                <w:color w:val="auto"/>
                <w:sz w:val="24"/>
                <w:szCs w:val="24"/>
                <w:highlight w:val="none"/>
              </w:rPr>
              <w:t>投标人提供</w:t>
            </w:r>
            <w:r>
              <w:rPr>
                <w:rFonts w:hint="eastAsia" w:cs="宋体"/>
                <w:color w:val="auto"/>
                <w:sz w:val="24"/>
                <w:szCs w:val="24"/>
                <w:highlight w:val="none"/>
              </w:rPr>
              <w:t>的</w:t>
            </w:r>
            <w:r>
              <w:rPr>
                <w:rFonts w:hint="eastAsia" w:ascii="宋体" w:hAnsi="宋体" w:cs="宋体"/>
                <w:color w:val="auto"/>
                <w:sz w:val="24"/>
                <w:szCs w:val="24"/>
                <w:highlight w:val="none"/>
              </w:rPr>
              <w:t>由</w:t>
            </w:r>
            <w:r>
              <w:rPr>
                <w:rFonts w:hint="eastAsia" w:cs="宋体"/>
                <w:color w:val="auto"/>
                <w:sz w:val="24"/>
                <w:szCs w:val="24"/>
                <w:highlight w:val="none"/>
              </w:rPr>
              <w:t>第三方</w:t>
            </w:r>
            <w:r>
              <w:rPr>
                <w:rFonts w:hint="eastAsia" w:ascii="宋体" w:hAnsi="宋体" w:cs="宋体"/>
                <w:color w:val="auto"/>
                <w:sz w:val="24"/>
                <w:szCs w:val="24"/>
                <w:highlight w:val="none"/>
              </w:rPr>
              <w:t>机构出具的“</w:t>
            </w:r>
            <w:r>
              <w:rPr>
                <w:rStyle w:val="17"/>
                <w:rFonts w:hint="default"/>
                <w:color w:val="auto"/>
                <w:sz w:val="24"/>
                <w:szCs w:val="24"/>
                <w:highlight w:val="none"/>
                <w:lang w:bidi="ar"/>
              </w:rPr>
              <w:t>《</w:t>
            </w:r>
            <w:r>
              <w:rPr>
                <w:rStyle w:val="19"/>
                <w:rFonts w:hint="default" w:ascii="宋体" w:hAnsi="宋体" w:eastAsia="宋体" w:cs="宋体"/>
                <w:color w:val="auto"/>
                <w:sz w:val="24"/>
                <w:szCs w:val="24"/>
                <w:highlight w:val="none"/>
                <w:lang w:bidi="ar"/>
              </w:rPr>
              <w:t>PA脚垫</w:t>
            </w:r>
            <w:r>
              <w:rPr>
                <w:rStyle w:val="17"/>
                <w:rFonts w:hint="default"/>
                <w:color w:val="auto"/>
                <w:sz w:val="24"/>
                <w:szCs w:val="24"/>
                <w:highlight w:val="none"/>
                <w:lang w:bidi="ar"/>
              </w:rPr>
              <w:t>》</w:t>
            </w:r>
            <w:r>
              <w:rPr>
                <w:rFonts w:hint="eastAsia" w:ascii="宋体" w:hAnsi="宋体" w:cs="宋体"/>
                <w:color w:val="auto"/>
                <w:sz w:val="24"/>
                <w:szCs w:val="24"/>
                <w:highlight w:val="none"/>
              </w:rPr>
              <w:t>”检测</w:t>
            </w:r>
            <w:r>
              <w:rPr>
                <w:rFonts w:hint="eastAsia" w:cs="宋体"/>
                <w:color w:val="auto"/>
                <w:sz w:val="24"/>
                <w:szCs w:val="24"/>
                <w:highlight w:val="none"/>
              </w:rPr>
              <w:t>或</w:t>
            </w:r>
            <w:r>
              <w:rPr>
                <w:rFonts w:hint="eastAsia" w:ascii="宋体" w:hAnsi="宋体" w:cs="宋体"/>
                <w:color w:val="auto"/>
                <w:sz w:val="24"/>
                <w:szCs w:val="24"/>
                <w:highlight w:val="none"/>
              </w:rPr>
              <w:t>检验报告进行评价，检测</w:t>
            </w:r>
            <w:r>
              <w:rPr>
                <w:rFonts w:hint="eastAsia" w:cs="宋体"/>
                <w:color w:val="auto"/>
                <w:sz w:val="24"/>
                <w:szCs w:val="24"/>
                <w:highlight w:val="none"/>
              </w:rPr>
              <w:t>或</w:t>
            </w:r>
            <w:r>
              <w:rPr>
                <w:rFonts w:hint="eastAsia" w:ascii="宋体" w:hAnsi="宋体" w:cs="宋体"/>
                <w:color w:val="auto"/>
                <w:sz w:val="24"/>
                <w:szCs w:val="24"/>
                <w:highlight w:val="none"/>
              </w:rPr>
              <w:t>检验项目内容需包含：</w:t>
            </w:r>
          </w:p>
          <w:p>
            <w:pPr>
              <w:tabs>
                <w:tab w:val="left" w:pos="-1080"/>
                <w:tab w:val="left" w:pos="180"/>
                <w:tab w:val="left" w:pos="1080"/>
                <w:tab w:val="left" w:pos="2370"/>
              </w:tabs>
              <w:spacing w:line="360" w:lineRule="auto"/>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关于塑料家具通用技术条件；</w:t>
            </w:r>
          </w:p>
          <w:p>
            <w:pPr>
              <w:tabs>
                <w:tab w:val="left" w:pos="-1080"/>
                <w:tab w:val="left" w:pos="180"/>
                <w:tab w:val="left" w:pos="1080"/>
                <w:tab w:val="left" w:pos="2370"/>
              </w:tabs>
              <w:spacing w:line="360" w:lineRule="auto"/>
              <w:rPr>
                <w:rStyle w:val="19"/>
                <w:rFonts w:hint="default" w:ascii="宋体" w:hAnsi="宋体" w:cs="宋体"/>
                <w:color w:val="auto"/>
                <w:sz w:val="24"/>
                <w:szCs w:val="24"/>
                <w:highlight w:val="none"/>
                <w:lang w:bidi="ar"/>
              </w:rPr>
            </w:pPr>
            <w:r>
              <w:rPr>
                <w:rStyle w:val="19"/>
                <w:rFonts w:hint="default" w:ascii="宋体" w:hAnsi="宋体" w:eastAsia="宋体" w:cs="宋体"/>
                <w:color w:val="auto"/>
                <w:sz w:val="24"/>
                <w:szCs w:val="24"/>
                <w:highlight w:val="none"/>
                <w:lang w:bidi="ar"/>
              </w:rPr>
              <w:t>耐老化性（</w:t>
            </w:r>
            <w:r>
              <w:rPr>
                <w:rStyle w:val="19"/>
                <w:rFonts w:hint="default" w:ascii="宋体" w:hAnsi="宋体" w:eastAsia="宋体" w:cs="宋体"/>
                <w:color w:val="auto"/>
                <w:sz w:val="24"/>
                <w:szCs w:val="24"/>
                <w:highlight w:val="none"/>
                <w:lang w:bidi="ar"/>
              </w:rPr>
              <w:t>500h</w:t>
            </w:r>
            <w:r>
              <w:rPr>
                <w:rStyle w:val="19"/>
                <w:rFonts w:hint="default" w:ascii="宋体" w:hAnsi="宋体" w:eastAsia="宋体" w:cs="宋体"/>
                <w:color w:val="auto"/>
                <w:sz w:val="24"/>
                <w:szCs w:val="24"/>
                <w:highlight w:val="none"/>
                <w:lang w:bidi="ar"/>
              </w:rPr>
              <w:t>）冲击强度的保持率≥60、外观颜色变色评级≥3级、冲击强度≥10J/</w:t>
            </w:r>
            <w:r>
              <w:rPr>
                <w:rStyle w:val="20"/>
                <w:rFonts w:hint="default"/>
                <w:color w:val="auto"/>
                <w:sz w:val="24"/>
                <w:szCs w:val="24"/>
                <w:highlight w:val="none"/>
                <w:lang w:bidi="ar"/>
              </w:rPr>
              <w:t>㎡</w:t>
            </w:r>
            <w:r>
              <w:rPr>
                <w:rFonts w:hint="eastAsia" w:ascii="宋体" w:hAnsi="宋体" w:cs="宋体"/>
                <w:bCs/>
                <w:color w:val="auto"/>
                <w:sz w:val="24"/>
                <w:szCs w:val="24"/>
                <w:highlight w:val="none"/>
              </w:rPr>
              <w:t>；</w:t>
            </w:r>
          </w:p>
          <w:p>
            <w:pPr>
              <w:tabs>
                <w:tab w:val="left" w:pos="-1080"/>
                <w:tab w:val="left" w:pos="180"/>
                <w:tab w:val="left" w:pos="1080"/>
                <w:tab w:val="left" w:pos="2370"/>
              </w:tabs>
              <w:spacing w:line="360" w:lineRule="auto"/>
              <w:rPr>
                <w:rFonts w:ascii="宋体" w:hAnsi="宋体" w:cs="宋体"/>
                <w:bCs/>
                <w:color w:val="auto"/>
                <w:sz w:val="24"/>
                <w:szCs w:val="24"/>
                <w:highlight w:val="none"/>
              </w:rPr>
            </w:pPr>
            <w:r>
              <w:rPr>
                <w:rFonts w:hint="eastAsia" w:ascii="宋体" w:hAnsi="宋体" w:cs="宋体"/>
                <w:color w:val="auto"/>
                <w:sz w:val="24"/>
                <w:szCs w:val="24"/>
                <w:highlight w:val="none"/>
              </w:rPr>
              <w:t>需提供第三方机构出具的合格的检测</w:t>
            </w:r>
            <w:r>
              <w:rPr>
                <w:rFonts w:hint="eastAsia" w:cs="宋体"/>
                <w:color w:val="auto"/>
                <w:sz w:val="24"/>
                <w:szCs w:val="24"/>
                <w:highlight w:val="none"/>
              </w:rPr>
              <w:t>或</w:t>
            </w:r>
            <w:r>
              <w:rPr>
                <w:rFonts w:hint="eastAsia" w:ascii="宋体" w:hAnsi="宋体" w:cs="宋体"/>
                <w:color w:val="auto"/>
                <w:sz w:val="24"/>
                <w:szCs w:val="24"/>
                <w:highlight w:val="none"/>
              </w:rPr>
              <w:t>检验报告复印件（报告须具有机构资质标识（CMA或CNAS）并盖有检测</w:t>
            </w:r>
            <w:r>
              <w:rPr>
                <w:rFonts w:hint="eastAsia" w:cs="宋体"/>
                <w:color w:val="auto"/>
                <w:sz w:val="24"/>
                <w:szCs w:val="24"/>
                <w:highlight w:val="none"/>
              </w:rPr>
              <w:t>或</w:t>
            </w:r>
            <w:r>
              <w:rPr>
                <w:rFonts w:hint="eastAsia" w:ascii="宋体" w:hAnsi="宋体" w:cs="宋体"/>
                <w:color w:val="auto"/>
                <w:sz w:val="24"/>
                <w:szCs w:val="24"/>
                <w:highlight w:val="none"/>
              </w:rPr>
              <w:t>检验专用章，报告需附有</w:t>
            </w:r>
            <w:r>
              <w:rPr>
                <w:rFonts w:hint="eastAsia" w:ascii="宋体" w:hAnsi="宋体" w:cs="宋体"/>
                <w:color w:val="auto"/>
                <w:sz w:val="24"/>
                <w:szCs w:val="24"/>
                <w:highlight w:val="none"/>
                <w:lang w:bidi="ar"/>
              </w:rPr>
              <w:t>可识别防伪二维码</w:t>
            </w:r>
            <w:r>
              <w:rPr>
                <w:rFonts w:hint="eastAsia" w:ascii="宋体" w:hAnsi="宋体" w:cs="宋体"/>
                <w:color w:val="auto"/>
                <w:sz w:val="24"/>
                <w:szCs w:val="24"/>
                <w:highlight w:val="none"/>
              </w:rPr>
              <w:t>，</w:t>
            </w:r>
            <w:r>
              <w:rPr>
                <w:rFonts w:hint="eastAsia" w:ascii="宋体" w:hAnsi="宋体" w:cs="宋体"/>
                <w:color w:val="auto"/>
                <w:sz w:val="24"/>
                <w:szCs w:val="24"/>
                <w:highlight w:val="none"/>
              </w:rPr>
              <w:t>完全满足以上要求得3分，</w:t>
            </w:r>
            <w:r>
              <w:rPr>
                <w:rFonts w:hint="eastAsia" w:ascii="宋体" w:hAnsi="宋体" w:cs="宋体"/>
                <w:color w:val="auto"/>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 w:val="left" w:pos="237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1-16</w:t>
            </w:r>
          </w:p>
        </w:tc>
        <w:tc>
          <w:tcPr>
            <w:tcW w:w="7589"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cs="宋体"/>
                <w:color w:val="auto"/>
                <w:sz w:val="24"/>
                <w:szCs w:val="24"/>
                <w:highlight w:val="none"/>
              </w:rPr>
              <w:t>根据</w:t>
            </w:r>
            <w:r>
              <w:rPr>
                <w:rFonts w:hint="eastAsia" w:ascii="宋体" w:hAnsi="宋体" w:cs="宋体"/>
                <w:color w:val="auto"/>
                <w:sz w:val="24"/>
                <w:szCs w:val="24"/>
                <w:highlight w:val="none"/>
              </w:rPr>
              <w:t>投标人提供</w:t>
            </w:r>
            <w:r>
              <w:rPr>
                <w:rFonts w:hint="eastAsia" w:cs="宋体"/>
                <w:color w:val="auto"/>
                <w:sz w:val="24"/>
                <w:szCs w:val="24"/>
                <w:highlight w:val="none"/>
              </w:rPr>
              <w:t>的</w:t>
            </w:r>
            <w:r>
              <w:rPr>
                <w:rFonts w:hint="eastAsia" w:ascii="宋体" w:hAnsi="宋体" w:cs="宋体"/>
                <w:color w:val="auto"/>
                <w:sz w:val="24"/>
                <w:szCs w:val="24"/>
                <w:highlight w:val="none"/>
              </w:rPr>
              <w:t>由</w:t>
            </w:r>
            <w:r>
              <w:rPr>
                <w:rFonts w:hint="eastAsia" w:cs="宋体"/>
                <w:color w:val="auto"/>
                <w:sz w:val="24"/>
                <w:szCs w:val="24"/>
                <w:highlight w:val="none"/>
              </w:rPr>
              <w:t>第三方</w:t>
            </w:r>
            <w:r>
              <w:rPr>
                <w:rFonts w:hint="eastAsia" w:ascii="宋体" w:hAnsi="宋体" w:cs="宋体"/>
                <w:color w:val="auto"/>
                <w:sz w:val="24"/>
                <w:szCs w:val="24"/>
                <w:highlight w:val="none"/>
              </w:rPr>
              <w:t>机构出具的“</w:t>
            </w:r>
            <w:r>
              <w:rPr>
                <w:rStyle w:val="17"/>
                <w:rFonts w:hint="default"/>
                <w:color w:val="auto"/>
                <w:sz w:val="24"/>
                <w:szCs w:val="24"/>
                <w:highlight w:val="none"/>
                <w:lang w:bidi="ar"/>
              </w:rPr>
              <w:t>《抗倍特板》</w:t>
            </w:r>
            <w:r>
              <w:rPr>
                <w:rFonts w:hint="eastAsia" w:ascii="宋体" w:hAnsi="宋体" w:cs="宋体"/>
                <w:color w:val="auto"/>
                <w:sz w:val="24"/>
                <w:szCs w:val="24"/>
                <w:highlight w:val="none"/>
              </w:rPr>
              <w:t>”检测</w:t>
            </w:r>
            <w:r>
              <w:rPr>
                <w:rFonts w:hint="eastAsia" w:cs="宋体"/>
                <w:color w:val="auto"/>
                <w:sz w:val="24"/>
                <w:szCs w:val="24"/>
                <w:highlight w:val="none"/>
              </w:rPr>
              <w:t>或</w:t>
            </w:r>
            <w:r>
              <w:rPr>
                <w:rFonts w:hint="eastAsia" w:ascii="宋体" w:hAnsi="宋体" w:cs="宋体"/>
                <w:color w:val="auto"/>
                <w:sz w:val="24"/>
                <w:szCs w:val="24"/>
                <w:highlight w:val="none"/>
              </w:rPr>
              <w:t>检验报告进行评价，检测</w:t>
            </w:r>
            <w:r>
              <w:rPr>
                <w:rFonts w:hint="eastAsia" w:cs="宋体"/>
                <w:color w:val="auto"/>
                <w:sz w:val="24"/>
                <w:szCs w:val="24"/>
                <w:highlight w:val="none"/>
              </w:rPr>
              <w:t>或</w:t>
            </w:r>
            <w:r>
              <w:rPr>
                <w:rFonts w:hint="eastAsia" w:ascii="宋体" w:hAnsi="宋体" w:cs="宋体"/>
                <w:color w:val="auto"/>
                <w:sz w:val="24"/>
                <w:szCs w:val="24"/>
                <w:highlight w:val="none"/>
              </w:rPr>
              <w:t>检验项目内容需包含：</w:t>
            </w:r>
          </w:p>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关于室内装饰装修材料 人造板及其制品中甲醛释放量；</w:t>
            </w:r>
          </w:p>
          <w:p>
            <w:pPr>
              <w:tabs>
                <w:tab w:val="left" w:pos="-1080"/>
                <w:tab w:val="left" w:pos="180"/>
                <w:tab w:val="left" w:pos="1080"/>
                <w:tab w:val="left" w:pos="2370"/>
              </w:tabs>
              <w:spacing w:line="360" w:lineRule="auto"/>
              <w:rPr>
                <w:color w:val="auto"/>
                <w:highlight w:val="none"/>
              </w:rPr>
            </w:pPr>
            <w:r>
              <w:rPr>
                <w:rStyle w:val="17"/>
                <w:rFonts w:hint="default"/>
                <w:color w:val="auto"/>
                <w:sz w:val="24"/>
                <w:szCs w:val="24"/>
                <w:highlight w:val="none"/>
                <w:lang w:bidi="ar"/>
              </w:rPr>
              <w:t>甲醛释放量≤0.124mg/m³、</w:t>
            </w:r>
          </w:p>
          <w:p>
            <w:pPr>
              <w:tabs>
                <w:tab w:val="left" w:pos="-1080"/>
                <w:tab w:val="left" w:pos="180"/>
                <w:tab w:val="left" w:pos="1080"/>
                <w:tab w:val="left" w:pos="2370"/>
              </w:tabs>
              <w:spacing w:line="360" w:lineRule="auto"/>
              <w:rPr>
                <w:rFonts w:ascii="宋体" w:hAnsi="宋体" w:cs="宋体"/>
                <w:bCs/>
                <w:color w:val="auto"/>
                <w:sz w:val="24"/>
                <w:szCs w:val="24"/>
                <w:highlight w:val="none"/>
              </w:rPr>
            </w:pPr>
            <w:r>
              <w:rPr>
                <w:rFonts w:hint="eastAsia" w:ascii="宋体" w:hAnsi="宋体" w:cs="宋体"/>
                <w:color w:val="auto"/>
                <w:sz w:val="24"/>
                <w:szCs w:val="24"/>
                <w:highlight w:val="none"/>
              </w:rPr>
              <w:t>需提供第三方机构出具的合格的检测</w:t>
            </w:r>
            <w:r>
              <w:rPr>
                <w:rFonts w:hint="eastAsia" w:cs="宋体"/>
                <w:color w:val="auto"/>
                <w:sz w:val="24"/>
                <w:szCs w:val="24"/>
                <w:highlight w:val="none"/>
              </w:rPr>
              <w:t>或</w:t>
            </w:r>
            <w:r>
              <w:rPr>
                <w:rFonts w:hint="eastAsia" w:ascii="宋体" w:hAnsi="宋体" w:cs="宋体"/>
                <w:color w:val="auto"/>
                <w:sz w:val="24"/>
                <w:szCs w:val="24"/>
                <w:highlight w:val="none"/>
              </w:rPr>
              <w:t>检验报告复印件（报告须具有机构资质标识（CMA或CNAS）并盖有检测</w:t>
            </w:r>
            <w:r>
              <w:rPr>
                <w:rFonts w:hint="eastAsia" w:cs="宋体"/>
                <w:color w:val="auto"/>
                <w:sz w:val="24"/>
                <w:szCs w:val="24"/>
                <w:highlight w:val="none"/>
              </w:rPr>
              <w:t>或</w:t>
            </w:r>
            <w:r>
              <w:rPr>
                <w:rFonts w:hint="eastAsia" w:ascii="宋体" w:hAnsi="宋体" w:cs="宋体"/>
                <w:color w:val="auto"/>
                <w:sz w:val="24"/>
                <w:szCs w:val="24"/>
                <w:highlight w:val="none"/>
              </w:rPr>
              <w:t>检验专用章，报告需附有</w:t>
            </w:r>
            <w:r>
              <w:rPr>
                <w:rFonts w:hint="eastAsia" w:ascii="宋体" w:hAnsi="宋体" w:cs="宋体"/>
                <w:color w:val="auto"/>
                <w:sz w:val="24"/>
                <w:szCs w:val="24"/>
                <w:highlight w:val="none"/>
                <w:lang w:bidi="ar"/>
              </w:rPr>
              <w:t>可识别防伪二维码</w:t>
            </w:r>
            <w:r>
              <w:rPr>
                <w:rFonts w:hint="eastAsia" w:ascii="宋体" w:hAnsi="宋体" w:cs="宋体"/>
                <w:color w:val="auto"/>
                <w:sz w:val="24"/>
                <w:szCs w:val="24"/>
                <w:highlight w:val="none"/>
              </w:rPr>
              <w:t>，</w:t>
            </w:r>
            <w:r>
              <w:rPr>
                <w:rFonts w:hint="eastAsia" w:ascii="宋体" w:hAnsi="宋体" w:cs="宋体"/>
                <w:color w:val="auto"/>
                <w:sz w:val="24"/>
                <w:szCs w:val="24"/>
                <w:highlight w:val="none"/>
              </w:rPr>
              <w:t>完全满足以上要求得</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分，</w:t>
            </w:r>
            <w:r>
              <w:rPr>
                <w:rFonts w:hint="eastAsia" w:ascii="宋体" w:hAnsi="宋体" w:cs="宋体"/>
                <w:color w:val="auto"/>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 w:val="left" w:pos="237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2</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1-17</w:t>
            </w:r>
          </w:p>
        </w:tc>
        <w:tc>
          <w:tcPr>
            <w:tcW w:w="7589"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cs="宋体"/>
                <w:color w:val="auto"/>
                <w:sz w:val="24"/>
                <w:szCs w:val="24"/>
                <w:highlight w:val="none"/>
              </w:rPr>
              <w:t>根据</w:t>
            </w:r>
            <w:r>
              <w:rPr>
                <w:rFonts w:hint="eastAsia" w:ascii="宋体" w:hAnsi="宋体" w:cs="宋体"/>
                <w:color w:val="auto"/>
                <w:sz w:val="24"/>
                <w:szCs w:val="24"/>
                <w:highlight w:val="none"/>
              </w:rPr>
              <w:t>投标人提供</w:t>
            </w:r>
            <w:r>
              <w:rPr>
                <w:rFonts w:hint="eastAsia" w:cs="宋体"/>
                <w:color w:val="auto"/>
                <w:sz w:val="24"/>
                <w:szCs w:val="24"/>
                <w:highlight w:val="none"/>
              </w:rPr>
              <w:t>的</w:t>
            </w:r>
            <w:r>
              <w:rPr>
                <w:rFonts w:hint="eastAsia" w:ascii="宋体" w:hAnsi="宋体" w:cs="宋体"/>
                <w:color w:val="auto"/>
                <w:sz w:val="24"/>
                <w:szCs w:val="24"/>
                <w:highlight w:val="none"/>
              </w:rPr>
              <w:t>由</w:t>
            </w:r>
            <w:r>
              <w:rPr>
                <w:rFonts w:hint="eastAsia" w:cs="宋体"/>
                <w:color w:val="auto"/>
                <w:sz w:val="24"/>
                <w:szCs w:val="24"/>
                <w:highlight w:val="none"/>
              </w:rPr>
              <w:t>第三方</w:t>
            </w:r>
            <w:r>
              <w:rPr>
                <w:rFonts w:hint="eastAsia" w:ascii="宋体" w:hAnsi="宋体" w:cs="宋体"/>
                <w:color w:val="auto"/>
                <w:sz w:val="24"/>
                <w:szCs w:val="24"/>
                <w:highlight w:val="none"/>
              </w:rPr>
              <w:t>机构出具的“</w:t>
            </w:r>
            <w:r>
              <w:rPr>
                <w:rStyle w:val="17"/>
                <w:rFonts w:hint="default"/>
                <w:color w:val="auto"/>
                <w:sz w:val="24"/>
                <w:szCs w:val="24"/>
                <w:highlight w:val="none"/>
                <w:lang w:bidi="ar"/>
              </w:rPr>
              <w:t>《</w:t>
            </w:r>
            <w:r>
              <w:rPr>
                <w:rFonts w:hint="eastAsia" w:ascii="宋体" w:hAnsi="宋体" w:cs="宋体"/>
                <w:bCs/>
                <w:color w:val="auto"/>
                <w:kern w:val="0"/>
                <w:sz w:val="24"/>
                <w:szCs w:val="24"/>
                <w:highlight w:val="none"/>
                <w:lang w:bidi="ar"/>
              </w:rPr>
              <w:t>色粉</w:t>
            </w:r>
            <w:r>
              <w:rPr>
                <w:rStyle w:val="17"/>
                <w:rFonts w:hint="default"/>
                <w:color w:val="auto"/>
                <w:sz w:val="24"/>
                <w:szCs w:val="24"/>
                <w:highlight w:val="none"/>
                <w:lang w:bidi="ar"/>
              </w:rPr>
              <w:t>》</w:t>
            </w:r>
            <w:r>
              <w:rPr>
                <w:rFonts w:hint="eastAsia" w:ascii="宋体" w:hAnsi="宋体" w:cs="宋体"/>
                <w:color w:val="auto"/>
                <w:sz w:val="24"/>
                <w:szCs w:val="24"/>
                <w:highlight w:val="none"/>
              </w:rPr>
              <w:t>”检测</w:t>
            </w:r>
            <w:r>
              <w:rPr>
                <w:rFonts w:hint="eastAsia" w:cs="宋体"/>
                <w:color w:val="auto"/>
                <w:sz w:val="24"/>
                <w:szCs w:val="24"/>
                <w:highlight w:val="none"/>
              </w:rPr>
              <w:t>或</w:t>
            </w:r>
            <w:r>
              <w:rPr>
                <w:rFonts w:hint="eastAsia" w:ascii="宋体" w:hAnsi="宋体" w:cs="宋体"/>
                <w:color w:val="auto"/>
                <w:sz w:val="24"/>
                <w:szCs w:val="24"/>
                <w:highlight w:val="none"/>
              </w:rPr>
              <w:t>检验报告进行评价，检测</w:t>
            </w:r>
            <w:r>
              <w:rPr>
                <w:rFonts w:hint="eastAsia" w:cs="宋体"/>
                <w:color w:val="auto"/>
                <w:sz w:val="24"/>
                <w:szCs w:val="24"/>
                <w:highlight w:val="none"/>
              </w:rPr>
              <w:t>或</w:t>
            </w:r>
            <w:r>
              <w:rPr>
                <w:rFonts w:hint="eastAsia" w:ascii="宋体" w:hAnsi="宋体" w:cs="宋体"/>
                <w:color w:val="auto"/>
                <w:sz w:val="24"/>
                <w:szCs w:val="24"/>
                <w:highlight w:val="none"/>
              </w:rPr>
              <w:t>检验项目内容需包含：</w:t>
            </w:r>
          </w:p>
          <w:p>
            <w:pPr>
              <w:tabs>
                <w:tab w:val="left" w:pos="-1080"/>
                <w:tab w:val="left" w:pos="180"/>
                <w:tab w:val="left" w:pos="1080"/>
                <w:tab w:val="left" w:pos="2370"/>
              </w:tabs>
              <w:spacing w:line="360" w:lineRule="auto"/>
              <w:rPr>
                <w:rFonts w:ascii="宋体" w:hAnsi="宋体" w:cs="宋体"/>
                <w:color w:val="auto"/>
                <w:sz w:val="24"/>
                <w:szCs w:val="24"/>
                <w:highlight w:val="none"/>
              </w:rPr>
            </w:pPr>
            <w:r>
              <w:rPr>
                <w:rStyle w:val="17"/>
                <w:rFonts w:hint="default"/>
                <w:color w:val="auto"/>
                <w:sz w:val="24"/>
                <w:szCs w:val="24"/>
                <w:highlight w:val="none"/>
                <w:lang w:bidi="ar"/>
              </w:rPr>
              <w:t>关于热固性和热塑性粉末涂料；</w:t>
            </w:r>
          </w:p>
          <w:p>
            <w:pPr>
              <w:tabs>
                <w:tab w:val="left" w:pos="-1080"/>
                <w:tab w:val="left" w:pos="180"/>
                <w:tab w:val="left" w:pos="1080"/>
                <w:tab w:val="left" w:pos="2370"/>
              </w:tabs>
              <w:spacing w:line="360" w:lineRule="auto"/>
              <w:rPr>
                <w:rFonts w:ascii="宋体" w:hAnsi="宋体" w:cs="宋体"/>
                <w:bCs/>
                <w:color w:val="auto"/>
                <w:kern w:val="0"/>
                <w:sz w:val="24"/>
                <w:szCs w:val="24"/>
                <w:highlight w:val="none"/>
                <w:lang w:bidi="ar"/>
              </w:rPr>
            </w:pPr>
            <w:r>
              <w:rPr>
                <w:rFonts w:hint="eastAsia" w:ascii="宋体" w:hAnsi="宋体" w:cs="宋体"/>
                <w:bCs/>
                <w:color w:val="auto"/>
                <w:kern w:val="0"/>
                <w:sz w:val="24"/>
                <w:szCs w:val="24"/>
                <w:highlight w:val="none"/>
                <w:lang w:bidi="ar"/>
              </w:rPr>
              <w:t>耐磨性（750g/500r）≤50、耐酸性240h无异常、耐碱性168h无异常；</w:t>
            </w:r>
          </w:p>
          <w:p>
            <w:pPr>
              <w:tabs>
                <w:tab w:val="left" w:pos="-1080"/>
                <w:tab w:val="left" w:pos="180"/>
                <w:tab w:val="left" w:pos="1080"/>
                <w:tab w:val="left" w:pos="2370"/>
              </w:tabs>
              <w:spacing w:line="360" w:lineRule="auto"/>
              <w:rPr>
                <w:rFonts w:ascii="宋体" w:hAnsi="宋体" w:cs="宋体"/>
                <w:bCs/>
                <w:color w:val="auto"/>
                <w:sz w:val="24"/>
                <w:szCs w:val="24"/>
                <w:highlight w:val="none"/>
              </w:rPr>
            </w:pPr>
            <w:r>
              <w:rPr>
                <w:rFonts w:hint="eastAsia" w:ascii="宋体" w:hAnsi="宋体" w:cs="宋体"/>
                <w:color w:val="auto"/>
                <w:sz w:val="24"/>
                <w:szCs w:val="24"/>
                <w:highlight w:val="none"/>
              </w:rPr>
              <w:t>需提供第三方机构出具的合格的检测</w:t>
            </w:r>
            <w:r>
              <w:rPr>
                <w:rFonts w:hint="eastAsia" w:cs="宋体"/>
                <w:color w:val="auto"/>
                <w:sz w:val="24"/>
                <w:szCs w:val="24"/>
                <w:highlight w:val="none"/>
              </w:rPr>
              <w:t>或</w:t>
            </w:r>
            <w:r>
              <w:rPr>
                <w:rFonts w:hint="eastAsia" w:ascii="宋体" w:hAnsi="宋体" w:cs="宋体"/>
                <w:color w:val="auto"/>
                <w:sz w:val="24"/>
                <w:szCs w:val="24"/>
                <w:highlight w:val="none"/>
              </w:rPr>
              <w:t>检验报告复印件（报告须具有机构资质标识（CMA或CNAS）并盖有检测</w:t>
            </w:r>
            <w:r>
              <w:rPr>
                <w:rFonts w:hint="eastAsia" w:cs="宋体"/>
                <w:color w:val="auto"/>
                <w:sz w:val="24"/>
                <w:szCs w:val="24"/>
                <w:highlight w:val="none"/>
              </w:rPr>
              <w:t>或</w:t>
            </w:r>
            <w:r>
              <w:rPr>
                <w:rFonts w:hint="eastAsia" w:ascii="宋体" w:hAnsi="宋体" w:cs="宋体"/>
                <w:color w:val="auto"/>
                <w:sz w:val="24"/>
                <w:szCs w:val="24"/>
                <w:highlight w:val="none"/>
              </w:rPr>
              <w:t>检验专用章，报告需附有</w:t>
            </w:r>
            <w:r>
              <w:rPr>
                <w:rFonts w:hint="eastAsia" w:ascii="宋体" w:hAnsi="宋体" w:cs="宋体"/>
                <w:color w:val="auto"/>
                <w:sz w:val="24"/>
                <w:szCs w:val="24"/>
                <w:highlight w:val="none"/>
                <w:lang w:bidi="ar"/>
              </w:rPr>
              <w:t>可识别防伪二维码</w:t>
            </w:r>
            <w:r>
              <w:rPr>
                <w:rFonts w:hint="eastAsia" w:ascii="宋体" w:hAnsi="宋体" w:cs="宋体"/>
                <w:color w:val="auto"/>
                <w:sz w:val="24"/>
                <w:szCs w:val="24"/>
                <w:highlight w:val="none"/>
              </w:rPr>
              <w:t>，</w:t>
            </w:r>
            <w:r>
              <w:rPr>
                <w:rFonts w:hint="eastAsia" w:ascii="宋体" w:hAnsi="宋体" w:cs="宋体"/>
                <w:color w:val="auto"/>
                <w:sz w:val="24"/>
                <w:szCs w:val="24"/>
                <w:highlight w:val="none"/>
              </w:rPr>
              <w:t>完全满足以上要求得</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分，</w:t>
            </w:r>
            <w:r>
              <w:rPr>
                <w:rFonts w:hint="eastAsia" w:ascii="宋体" w:hAnsi="宋体" w:cs="宋体"/>
                <w:color w:val="auto"/>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 w:val="left" w:pos="237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2</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1-18</w:t>
            </w:r>
          </w:p>
        </w:tc>
        <w:tc>
          <w:tcPr>
            <w:tcW w:w="7589"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cs="宋体"/>
                <w:color w:val="auto"/>
                <w:sz w:val="24"/>
                <w:szCs w:val="24"/>
                <w:highlight w:val="none"/>
              </w:rPr>
              <w:t>根据</w:t>
            </w:r>
            <w:r>
              <w:rPr>
                <w:rFonts w:hint="eastAsia" w:ascii="宋体" w:hAnsi="宋体" w:cs="宋体"/>
                <w:color w:val="auto"/>
                <w:sz w:val="24"/>
                <w:szCs w:val="24"/>
                <w:highlight w:val="none"/>
              </w:rPr>
              <w:t>投标人提供</w:t>
            </w:r>
            <w:r>
              <w:rPr>
                <w:rFonts w:hint="eastAsia" w:cs="宋体"/>
                <w:color w:val="auto"/>
                <w:sz w:val="24"/>
                <w:szCs w:val="24"/>
                <w:highlight w:val="none"/>
              </w:rPr>
              <w:t>的</w:t>
            </w:r>
            <w:r>
              <w:rPr>
                <w:rFonts w:hint="eastAsia" w:ascii="宋体" w:hAnsi="宋体" w:cs="宋体"/>
                <w:color w:val="auto"/>
                <w:sz w:val="24"/>
                <w:szCs w:val="24"/>
                <w:highlight w:val="none"/>
              </w:rPr>
              <w:t>由</w:t>
            </w:r>
            <w:r>
              <w:rPr>
                <w:rFonts w:hint="eastAsia" w:cs="宋体"/>
                <w:color w:val="auto"/>
                <w:sz w:val="24"/>
                <w:szCs w:val="24"/>
                <w:highlight w:val="none"/>
              </w:rPr>
              <w:t>第三方</w:t>
            </w:r>
            <w:r>
              <w:rPr>
                <w:rFonts w:hint="eastAsia" w:ascii="宋体" w:hAnsi="宋体" w:cs="宋体"/>
                <w:color w:val="auto"/>
                <w:sz w:val="24"/>
                <w:szCs w:val="24"/>
                <w:highlight w:val="none"/>
              </w:rPr>
              <w:t>机构出具的“</w:t>
            </w:r>
            <w:r>
              <w:rPr>
                <w:rStyle w:val="17"/>
                <w:rFonts w:hint="default"/>
                <w:color w:val="auto"/>
                <w:sz w:val="24"/>
                <w:szCs w:val="24"/>
                <w:highlight w:val="none"/>
                <w:lang w:bidi="ar"/>
              </w:rPr>
              <w:t>《</w:t>
            </w:r>
            <w:r>
              <w:rPr>
                <w:rFonts w:hint="eastAsia" w:ascii="宋体" w:hAnsi="宋体" w:cs="宋体"/>
                <w:bCs/>
                <w:color w:val="auto"/>
                <w:kern w:val="0"/>
                <w:sz w:val="24"/>
                <w:szCs w:val="24"/>
                <w:highlight w:val="none"/>
                <w:lang w:bidi="ar"/>
              </w:rPr>
              <w:t>钢管</w:t>
            </w:r>
            <w:r>
              <w:rPr>
                <w:rStyle w:val="17"/>
                <w:rFonts w:hint="default"/>
                <w:color w:val="auto"/>
                <w:sz w:val="24"/>
                <w:szCs w:val="24"/>
                <w:highlight w:val="none"/>
                <w:lang w:bidi="ar"/>
              </w:rPr>
              <w:t>》</w:t>
            </w:r>
            <w:r>
              <w:rPr>
                <w:rFonts w:hint="eastAsia" w:ascii="宋体" w:hAnsi="宋体" w:cs="宋体"/>
                <w:color w:val="auto"/>
                <w:sz w:val="24"/>
                <w:szCs w:val="24"/>
                <w:highlight w:val="none"/>
              </w:rPr>
              <w:t>”检测</w:t>
            </w:r>
            <w:r>
              <w:rPr>
                <w:rFonts w:hint="eastAsia" w:cs="宋体"/>
                <w:color w:val="auto"/>
                <w:sz w:val="24"/>
                <w:szCs w:val="24"/>
                <w:highlight w:val="none"/>
              </w:rPr>
              <w:t>或</w:t>
            </w:r>
            <w:r>
              <w:rPr>
                <w:rFonts w:hint="eastAsia" w:ascii="宋体" w:hAnsi="宋体" w:cs="宋体"/>
                <w:color w:val="auto"/>
                <w:sz w:val="24"/>
                <w:szCs w:val="24"/>
                <w:highlight w:val="none"/>
              </w:rPr>
              <w:t>检验报告进行评价，检测</w:t>
            </w:r>
            <w:r>
              <w:rPr>
                <w:rFonts w:hint="eastAsia" w:cs="宋体"/>
                <w:color w:val="auto"/>
                <w:sz w:val="24"/>
                <w:szCs w:val="24"/>
                <w:highlight w:val="none"/>
              </w:rPr>
              <w:t>或</w:t>
            </w:r>
            <w:r>
              <w:rPr>
                <w:rFonts w:hint="eastAsia" w:ascii="宋体" w:hAnsi="宋体" w:cs="宋体"/>
                <w:color w:val="auto"/>
                <w:sz w:val="24"/>
                <w:szCs w:val="24"/>
                <w:highlight w:val="none"/>
              </w:rPr>
              <w:t>检验项目内容需包含：</w:t>
            </w:r>
          </w:p>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关于金属家具通用技术条件、人造气氛腐蚀试验 盐雾试验；</w:t>
            </w:r>
          </w:p>
          <w:p>
            <w:pPr>
              <w:tabs>
                <w:tab w:val="left" w:pos="-1080"/>
                <w:tab w:val="left" w:pos="180"/>
                <w:tab w:val="left" w:pos="1080"/>
                <w:tab w:val="left" w:pos="2370"/>
              </w:tabs>
              <w:spacing w:line="360" w:lineRule="auto"/>
              <w:rPr>
                <w:rFonts w:ascii="宋体" w:hAnsi="宋体" w:cs="宋体"/>
                <w:bCs/>
                <w:color w:val="auto"/>
                <w:kern w:val="0"/>
                <w:sz w:val="24"/>
                <w:szCs w:val="24"/>
                <w:highlight w:val="none"/>
                <w:lang w:bidi="ar"/>
              </w:rPr>
            </w:pPr>
            <w:r>
              <w:rPr>
                <w:rFonts w:hint="eastAsia" w:ascii="宋体" w:hAnsi="宋体" w:cs="宋体"/>
                <w:bCs/>
                <w:color w:val="auto"/>
                <w:kern w:val="0"/>
                <w:sz w:val="24"/>
                <w:szCs w:val="24"/>
                <w:highlight w:val="none"/>
                <w:lang w:bidi="ar"/>
              </w:rPr>
              <w:t>金属件外观要求合格、重金属含量（可溶性铅≤90mg/kg、可溶性镉≤75mg/kg、可溶性铬≤60mg/kg、可溶性汞≤60mg/kg）；</w:t>
            </w:r>
          </w:p>
          <w:p>
            <w:pPr>
              <w:tabs>
                <w:tab w:val="left" w:pos="-1080"/>
                <w:tab w:val="left" w:pos="180"/>
                <w:tab w:val="left" w:pos="1080"/>
                <w:tab w:val="left" w:pos="2370"/>
              </w:tabs>
              <w:spacing w:line="360" w:lineRule="auto"/>
              <w:rPr>
                <w:rFonts w:ascii="宋体" w:hAnsi="宋体" w:cs="宋体"/>
                <w:bCs/>
                <w:color w:val="auto"/>
                <w:sz w:val="24"/>
                <w:szCs w:val="24"/>
                <w:highlight w:val="none"/>
              </w:rPr>
            </w:pPr>
            <w:r>
              <w:rPr>
                <w:rFonts w:hint="eastAsia" w:ascii="宋体" w:hAnsi="宋体" w:cs="宋体"/>
                <w:color w:val="auto"/>
                <w:sz w:val="24"/>
                <w:szCs w:val="24"/>
                <w:highlight w:val="none"/>
              </w:rPr>
              <w:t>需提供第三方机构出具的合格的检测</w:t>
            </w:r>
            <w:r>
              <w:rPr>
                <w:rFonts w:hint="eastAsia" w:cs="宋体"/>
                <w:color w:val="auto"/>
                <w:sz w:val="24"/>
                <w:szCs w:val="24"/>
                <w:highlight w:val="none"/>
              </w:rPr>
              <w:t>或</w:t>
            </w:r>
            <w:r>
              <w:rPr>
                <w:rFonts w:hint="eastAsia" w:ascii="宋体" w:hAnsi="宋体" w:cs="宋体"/>
                <w:color w:val="auto"/>
                <w:sz w:val="24"/>
                <w:szCs w:val="24"/>
                <w:highlight w:val="none"/>
              </w:rPr>
              <w:t>检验报告复印件（报告须具有机构资质标识（CMA或CNAS）并盖有检测</w:t>
            </w:r>
            <w:r>
              <w:rPr>
                <w:rFonts w:hint="eastAsia" w:cs="宋体"/>
                <w:color w:val="auto"/>
                <w:sz w:val="24"/>
                <w:szCs w:val="24"/>
                <w:highlight w:val="none"/>
              </w:rPr>
              <w:t>或</w:t>
            </w:r>
            <w:r>
              <w:rPr>
                <w:rFonts w:hint="eastAsia" w:ascii="宋体" w:hAnsi="宋体" w:cs="宋体"/>
                <w:color w:val="auto"/>
                <w:sz w:val="24"/>
                <w:szCs w:val="24"/>
                <w:highlight w:val="none"/>
              </w:rPr>
              <w:t>检验专用章，报告需附有</w:t>
            </w:r>
            <w:r>
              <w:rPr>
                <w:rFonts w:hint="eastAsia" w:ascii="宋体" w:hAnsi="宋体" w:cs="宋体"/>
                <w:color w:val="auto"/>
                <w:sz w:val="24"/>
                <w:szCs w:val="24"/>
                <w:highlight w:val="none"/>
                <w:lang w:bidi="ar"/>
              </w:rPr>
              <w:t>可识别防伪二维码</w:t>
            </w:r>
            <w:r>
              <w:rPr>
                <w:rFonts w:hint="eastAsia" w:ascii="宋体" w:hAnsi="宋体" w:cs="宋体"/>
                <w:color w:val="auto"/>
                <w:sz w:val="24"/>
                <w:szCs w:val="24"/>
                <w:highlight w:val="none"/>
              </w:rPr>
              <w:t>，</w:t>
            </w:r>
            <w:r>
              <w:rPr>
                <w:rFonts w:hint="eastAsia" w:ascii="宋体" w:hAnsi="宋体" w:cs="宋体"/>
                <w:color w:val="auto"/>
                <w:sz w:val="24"/>
                <w:szCs w:val="24"/>
                <w:highlight w:val="none"/>
              </w:rPr>
              <w:t>完全满足以上要求得3分，</w:t>
            </w:r>
            <w:r>
              <w:rPr>
                <w:rFonts w:hint="eastAsia" w:ascii="宋体" w:hAnsi="宋体" w:cs="宋体"/>
                <w:color w:val="auto"/>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 w:val="left" w:pos="237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1-19</w:t>
            </w:r>
          </w:p>
        </w:tc>
        <w:tc>
          <w:tcPr>
            <w:tcW w:w="7589"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cs="宋体"/>
                <w:color w:val="auto"/>
                <w:sz w:val="24"/>
                <w:szCs w:val="24"/>
                <w:highlight w:val="none"/>
              </w:rPr>
              <w:t>根据</w:t>
            </w:r>
            <w:r>
              <w:rPr>
                <w:rFonts w:hint="eastAsia" w:ascii="宋体" w:hAnsi="宋体" w:cs="宋体"/>
                <w:color w:val="auto"/>
                <w:sz w:val="24"/>
                <w:szCs w:val="24"/>
                <w:highlight w:val="none"/>
              </w:rPr>
              <w:t>投标人提供</w:t>
            </w:r>
            <w:r>
              <w:rPr>
                <w:rFonts w:hint="eastAsia" w:cs="宋体"/>
                <w:color w:val="auto"/>
                <w:sz w:val="24"/>
                <w:szCs w:val="24"/>
                <w:highlight w:val="none"/>
              </w:rPr>
              <w:t>的</w:t>
            </w:r>
            <w:r>
              <w:rPr>
                <w:rFonts w:hint="eastAsia" w:ascii="宋体" w:hAnsi="宋体" w:cs="宋体"/>
                <w:color w:val="auto"/>
                <w:sz w:val="24"/>
                <w:szCs w:val="24"/>
                <w:highlight w:val="none"/>
              </w:rPr>
              <w:t>由</w:t>
            </w:r>
            <w:r>
              <w:rPr>
                <w:rFonts w:hint="eastAsia" w:cs="宋体"/>
                <w:color w:val="auto"/>
                <w:sz w:val="24"/>
                <w:szCs w:val="24"/>
                <w:highlight w:val="none"/>
              </w:rPr>
              <w:t>第三方</w:t>
            </w:r>
            <w:r>
              <w:rPr>
                <w:rFonts w:hint="eastAsia" w:ascii="宋体" w:hAnsi="宋体" w:cs="宋体"/>
                <w:color w:val="auto"/>
                <w:sz w:val="24"/>
                <w:szCs w:val="24"/>
                <w:highlight w:val="none"/>
              </w:rPr>
              <w:t>机构出具的“</w:t>
            </w:r>
            <w:r>
              <w:rPr>
                <w:rStyle w:val="17"/>
                <w:rFonts w:hint="default"/>
                <w:color w:val="auto"/>
                <w:sz w:val="24"/>
                <w:szCs w:val="24"/>
                <w:highlight w:val="none"/>
                <w:lang w:bidi="ar"/>
              </w:rPr>
              <w:t>《</w:t>
            </w:r>
            <w:r>
              <w:rPr>
                <w:rFonts w:hint="eastAsia" w:ascii="宋体" w:hAnsi="宋体" w:cs="宋体"/>
                <w:bCs/>
                <w:color w:val="auto"/>
                <w:kern w:val="0"/>
                <w:sz w:val="24"/>
                <w:szCs w:val="24"/>
                <w:highlight w:val="none"/>
                <w:lang w:bidi="ar"/>
              </w:rPr>
              <w:t>TPE软胶</w:t>
            </w:r>
            <w:r>
              <w:rPr>
                <w:rStyle w:val="17"/>
                <w:rFonts w:hint="default"/>
                <w:color w:val="auto"/>
                <w:sz w:val="24"/>
                <w:szCs w:val="24"/>
                <w:highlight w:val="none"/>
                <w:lang w:bidi="ar"/>
              </w:rPr>
              <w:t>》</w:t>
            </w:r>
            <w:r>
              <w:rPr>
                <w:rFonts w:hint="eastAsia" w:ascii="宋体" w:hAnsi="宋体" w:cs="宋体"/>
                <w:color w:val="auto"/>
                <w:sz w:val="24"/>
                <w:szCs w:val="24"/>
                <w:highlight w:val="none"/>
              </w:rPr>
              <w:t>”检测</w:t>
            </w:r>
            <w:r>
              <w:rPr>
                <w:rFonts w:hint="eastAsia" w:cs="宋体"/>
                <w:color w:val="auto"/>
                <w:sz w:val="24"/>
                <w:szCs w:val="24"/>
                <w:highlight w:val="none"/>
              </w:rPr>
              <w:t>或</w:t>
            </w:r>
            <w:r>
              <w:rPr>
                <w:rFonts w:hint="eastAsia" w:ascii="宋体" w:hAnsi="宋体" w:cs="宋体"/>
                <w:color w:val="auto"/>
                <w:sz w:val="24"/>
                <w:szCs w:val="24"/>
                <w:highlight w:val="none"/>
              </w:rPr>
              <w:t>检验报告进行评价，检测</w:t>
            </w:r>
            <w:r>
              <w:rPr>
                <w:rFonts w:hint="eastAsia" w:cs="宋体"/>
                <w:color w:val="auto"/>
                <w:sz w:val="24"/>
                <w:szCs w:val="24"/>
                <w:highlight w:val="none"/>
              </w:rPr>
              <w:t>或</w:t>
            </w:r>
            <w:r>
              <w:rPr>
                <w:rFonts w:hint="eastAsia" w:ascii="宋体" w:hAnsi="宋体" w:cs="宋体"/>
                <w:color w:val="auto"/>
                <w:sz w:val="24"/>
                <w:szCs w:val="24"/>
                <w:highlight w:val="none"/>
              </w:rPr>
              <w:t>检验项目内容需包含：</w:t>
            </w:r>
          </w:p>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关于塑料家具通用技术条件塑料；</w:t>
            </w:r>
          </w:p>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ascii="宋体" w:hAnsi="宋体" w:cs="宋体"/>
                <w:bCs/>
                <w:color w:val="auto"/>
                <w:kern w:val="0"/>
                <w:sz w:val="24"/>
                <w:szCs w:val="24"/>
                <w:highlight w:val="none"/>
                <w:lang w:bidi="ar"/>
              </w:rPr>
              <w:t>塑料材料耐老化（</w:t>
            </w:r>
            <w:r>
              <w:rPr>
                <w:rFonts w:hint="eastAsia" w:ascii="宋体" w:hAnsi="宋体" w:cs="宋体"/>
                <w:bCs/>
                <w:color w:val="auto"/>
                <w:kern w:val="0"/>
                <w:sz w:val="24"/>
                <w:szCs w:val="24"/>
                <w:highlight w:val="none"/>
                <w:lang w:bidi="ar"/>
              </w:rPr>
              <w:t>500h</w:t>
            </w:r>
            <w:r>
              <w:rPr>
                <w:rFonts w:hint="eastAsia" w:ascii="宋体" w:hAnsi="宋体" w:cs="宋体"/>
                <w:bCs/>
                <w:color w:val="auto"/>
                <w:kern w:val="0"/>
                <w:sz w:val="24"/>
                <w:szCs w:val="24"/>
                <w:highlight w:val="none"/>
                <w:lang w:bidi="ar"/>
              </w:rPr>
              <w:t>）外观颜色变化评级≥3级；</w:t>
            </w:r>
            <w:r>
              <w:rPr>
                <w:rFonts w:hint="eastAsia" w:ascii="宋体" w:hAnsi="宋体" w:cs="宋体"/>
                <w:color w:val="auto"/>
                <w:sz w:val="24"/>
                <w:szCs w:val="24"/>
                <w:highlight w:val="none"/>
              </w:rPr>
              <w:t>需提供第三方机构出具的合格的检测</w:t>
            </w:r>
            <w:r>
              <w:rPr>
                <w:rFonts w:hint="eastAsia" w:cs="宋体"/>
                <w:color w:val="auto"/>
                <w:sz w:val="24"/>
                <w:szCs w:val="24"/>
                <w:highlight w:val="none"/>
              </w:rPr>
              <w:t>或</w:t>
            </w:r>
            <w:r>
              <w:rPr>
                <w:rFonts w:hint="eastAsia" w:ascii="宋体" w:hAnsi="宋体" w:cs="宋体"/>
                <w:color w:val="auto"/>
                <w:sz w:val="24"/>
                <w:szCs w:val="24"/>
                <w:highlight w:val="none"/>
              </w:rPr>
              <w:t>检验报告复印件（报告须具有机构资质标识（CMA或CNAS）并盖有检测</w:t>
            </w:r>
            <w:r>
              <w:rPr>
                <w:rFonts w:hint="eastAsia" w:cs="宋体"/>
                <w:color w:val="auto"/>
                <w:sz w:val="24"/>
                <w:szCs w:val="24"/>
                <w:highlight w:val="none"/>
              </w:rPr>
              <w:t>或</w:t>
            </w:r>
            <w:r>
              <w:rPr>
                <w:rFonts w:hint="eastAsia" w:ascii="宋体" w:hAnsi="宋体" w:cs="宋体"/>
                <w:color w:val="auto"/>
                <w:sz w:val="24"/>
                <w:szCs w:val="24"/>
                <w:highlight w:val="none"/>
              </w:rPr>
              <w:t>检验专用章，报告需附有</w:t>
            </w:r>
            <w:r>
              <w:rPr>
                <w:rFonts w:hint="eastAsia" w:ascii="宋体" w:hAnsi="宋体" w:cs="宋体"/>
                <w:color w:val="auto"/>
                <w:sz w:val="24"/>
                <w:szCs w:val="24"/>
                <w:highlight w:val="none"/>
                <w:lang w:bidi="ar"/>
              </w:rPr>
              <w:t>可识别防伪二维码</w:t>
            </w:r>
            <w:r>
              <w:rPr>
                <w:rFonts w:hint="eastAsia" w:ascii="宋体" w:hAnsi="宋体" w:cs="宋体"/>
                <w:color w:val="auto"/>
                <w:sz w:val="24"/>
                <w:szCs w:val="24"/>
                <w:highlight w:val="none"/>
              </w:rPr>
              <w:t>，</w:t>
            </w:r>
            <w:r>
              <w:rPr>
                <w:rFonts w:hint="eastAsia" w:ascii="宋体" w:hAnsi="宋体" w:cs="宋体"/>
                <w:color w:val="auto"/>
                <w:sz w:val="24"/>
                <w:szCs w:val="24"/>
                <w:highlight w:val="none"/>
              </w:rPr>
              <w:t>完全满足以上要求得3分，</w:t>
            </w:r>
            <w:r>
              <w:rPr>
                <w:rFonts w:hint="eastAsia" w:ascii="宋体" w:hAnsi="宋体" w:cs="宋体"/>
                <w:color w:val="auto"/>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 w:val="left" w:pos="2370"/>
              </w:tabs>
              <w:spacing w:line="360" w:lineRule="auto"/>
              <w:jc w:val="center"/>
              <w:rPr>
                <w:rFonts w:ascii="宋体" w:hAnsi="宋体" w:cs="宋体"/>
                <w:bCs/>
                <w:color w:val="auto"/>
                <w:sz w:val="24"/>
                <w:szCs w:val="24"/>
                <w:highlight w:val="none"/>
              </w:rPr>
            </w:pPr>
            <w:r>
              <w:rPr>
                <w:rFonts w:ascii="宋体" w:hAnsi="宋体" w:cs="宋体"/>
                <w:bCs/>
                <w:color w:val="auto"/>
                <w:sz w:val="24"/>
                <w:szCs w:val="24"/>
                <w:highlight w:val="none"/>
              </w:rPr>
              <w:t>3</w:t>
            </w:r>
          </w:p>
        </w:tc>
      </w:tr>
      <w:tr>
        <w:tblPrEx>
          <w:tblCellMar>
            <w:top w:w="0" w:type="dxa"/>
            <w:left w:w="108" w:type="dxa"/>
            <w:bottom w:w="0" w:type="dxa"/>
            <w:right w:w="108" w:type="dxa"/>
          </w:tblCellMar>
        </w:tblPrEx>
        <w:trPr>
          <w:trHeight w:val="3088" w:hRule="atLeast"/>
        </w:trPr>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1-20</w:t>
            </w:r>
          </w:p>
        </w:tc>
        <w:tc>
          <w:tcPr>
            <w:tcW w:w="7589"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cs="宋体"/>
                <w:color w:val="auto"/>
                <w:sz w:val="24"/>
                <w:szCs w:val="24"/>
                <w:highlight w:val="none"/>
              </w:rPr>
              <w:t>根据</w:t>
            </w:r>
            <w:r>
              <w:rPr>
                <w:rFonts w:hint="eastAsia" w:ascii="宋体" w:hAnsi="宋体" w:cs="宋体"/>
                <w:color w:val="auto"/>
                <w:sz w:val="24"/>
                <w:szCs w:val="24"/>
                <w:highlight w:val="none"/>
              </w:rPr>
              <w:t>投标人提供</w:t>
            </w:r>
            <w:r>
              <w:rPr>
                <w:rFonts w:hint="eastAsia" w:cs="宋体"/>
                <w:color w:val="auto"/>
                <w:sz w:val="24"/>
                <w:szCs w:val="24"/>
                <w:highlight w:val="none"/>
              </w:rPr>
              <w:t>的</w:t>
            </w:r>
            <w:r>
              <w:rPr>
                <w:rFonts w:hint="eastAsia" w:ascii="宋体" w:hAnsi="宋体" w:cs="宋体"/>
                <w:color w:val="auto"/>
                <w:sz w:val="24"/>
                <w:szCs w:val="24"/>
                <w:highlight w:val="none"/>
              </w:rPr>
              <w:t>由</w:t>
            </w:r>
            <w:r>
              <w:rPr>
                <w:rFonts w:hint="eastAsia" w:cs="宋体"/>
                <w:color w:val="auto"/>
                <w:sz w:val="24"/>
                <w:szCs w:val="24"/>
                <w:highlight w:val="none"/>
              </w:rPr>
              <w:t>第三方</w:t>
            </w:r>
            <w:r>
              <w:rPr>
                <w:rFonts w:hint="eastAsia" w:ascii="宋体" w:hAnsi="宋体" w:cs="宋体"/>
                <w:color w:val="auto"/>
                <w:sz w:val="24"/>
                <w:szCs w:val="24"/>
                <w:highlight w:val="none"/>
              </w:rPr>
              <w:t>机构出具的“</w:t>
            </w:r>
            <w:r>
              <w:rPr>
                <w:rStyle w:val="17"/>
                <w:rFonts w:hint="default"/>
                <w:color w:val="auto"/>
                <w:sz w:val="24"/>
                <w:szCs w:val="24"/>
                <w:highlight w:val="none"/>
                <w:lang w:bidi="ar"/>
              </w:rPr>
              <w:t>《</w:t>
            </w:r>
            <w:r>
              <w:rPr>
                <w:rFonts w:hint="eastAsia" w:ascii="宋体" w:hAnsi="宋体" w:cs="宋体"/>
                <w:bCs/>
                <w:color w:val="auto"/>
                <w:kern w:val="0"/>
                <w:sz w:val="24"/>
                <w:szCs w:val="24"/>
                <w:highlight w:val="none"/>
                <w:lang w:bidi="ar"/>
              </w:rPr>
              <w:t>PP坐垫</w:t>
            </w:r>
            <w:r>
              <w:rPr>
                <w:rStyle w:val="17"/>
                <w:rFonts w:hint="default"/>
                <w:color w:val="auto"/>
                <w:sz w:val="24"/>
                <w:szCs w:val="24"/>
                <w:highlight w:val="none"/>
                <w:lang w:bidi="ar"/>
              </w:rPr>
              <w:t>》</w:t>
            </w:r>
            <w:r>
              <w:rPr>
                <w:rFonts w:hint="eastAsia" w:ascii="宋体" w:hAnsi="宋体" w:cs="宋体"/>
                <w:color w:val="auto"/>
                <w:sz w:val="24"/>
                <w:szCs w:val="24"/>
                <w:highlight w:val="none"/>
              </w:rPr>
              <w:t>”检测</w:t>
            </w:r>
            <w:r>
              <w:rPr>
                <w:rFonts w:hint="eastAsia" w:cs="宋体"/>
                <w:color w:val="auto"/>
                <w:sz w:val="24"/>
                <w:szCs w:val="24"/>
                <w:highlight w:val="none"/>
              </w:rPr>
              <w:t>或</w:t>
            </w:r>
            <w:r>
              <w:rPr>
                <w:rFonts w:hint="eastAsia" w:ascii="宋体" w:hAnsi="宋体" w:cs="宋体"/>
                <w:color w:val="auto"/>
                <w:sz w:val="24"/>
                <w:szCs w:val="24"/>
                <w:highlight w:val="none"/>
              </w:rPr>
              <w:t>检验报告进行评价，检测</w:t>
            </w:r>
            <w:r>
              <w:rPr>
                <w:rFonts w:hint="eastAsia" w:cs="宋体"/>
                <w:color w:val="auto"/>
                <w:sz w:val="24"/>
                <w:szCs w:val="24"/>
                <w:highlight w:val="none"/>
              </w:rPr>
              <w:t>或</w:t>
            </w:r>
            <w:r>
              <w:rPr>
                <w:rFonts w:hint="eastAsia" w:ascii="宋体" w:hAnsi="宋体" w:cs="宋体"/>
                <w:color w:val="auto"/>
                <w:sz w:val="24"/>
                <w:szCs w:val="24"/>
                <w:highlight w:val="none"/>
              </w:rPr>
              <w:t>检验项目内容需包含：</w:t>
            </w:r>
          </w:p>
          <w:p>
            <w:pPr>
              <w:tabs>
                <w:tab w:val="left" w:pos="-1080"/>
                <w:tab w:val="left" w:pos="180"/>
                <w:tab w:val="left" w:pos="1080"/>
                <w:tab w:val="left" w:pos="2370"/>
              </w:tabs>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关于塑料家具通用技术条件；</w:t>
            </w:r>
          </w:p>
          <w:p>
            <w:pPr>
              <w:tabs>
                <w:tab w:val="left" w:pos="-1080"/>
                <w:tab w:val="left" w:pos="180"/>
                <w:tab w:val="left" w:pos="1080"/>
                <w:tab w:val="left" w:pos="2370"/>
              </w:tabs>
              <w:spacing w:line="360" w:lineRule="auto"/>
              <w:rPr>
                <w:rFonts w:ascii="宋体" w:hAnsi="宋体" w:cs="宋体"/>
                <w:bCs/>
                <w:color w:val="auto"/>
                <w:kern w:val="0"/>
                <w:sz w:val="24"/>
                <w:szCs w:val="24"/>
                <w:highlight w:val="none"/>
                <w:lang w:bidi="ar"/>
              </w:rPr>
            </w:pPr>
            <w:r>
              <w:rPr>
                <w:rFonts w:hint="eastAsia" w:ascii="宋体" w:hAnsi="宋体" w:cs="宋体"/>
                <w:bCs/>
                <w:color w:val="auto"/>
                <w:kern w:val="0"/>
                <w:sz w:val="24"/>
                <w:szCs w:val="24"/>
                <w:highlight w:val="none"/>
                <w:lang w:bidi="ar"/>
              </w:rPr>
              <w:t>耐老化性（500h）外观颜色变化评级≥3级、冲击强度≥10，领苯二甲酸酯≤0.1；</w:t>
            </w:r>
            <w:r>
              <w:rPr>
                <w:rFonts w:hint="eastAsia" w:ascii="宋体" w:hAnsi="宋体" w:cs="宋体"/>
                <w:color w:val="auto"/>
                <w:sz w:val="24"/>
                <w:szCs w:val="24"/>
                <w:highlight w:val="none"/>
              </w:rPr>
              <w:t>需提供第三方机构出具的合格的检测</w:t>
            </w:r>
            <w:r>
              <w:rPr>
                <w:rFonts w:hint="eastAsia" w:cs="宋体"/>
                <w:color w:val="auto"/>
                <w:sz w:val="24"/>
                <w:szCs w:val="24"/>
                <w:highlight w:val="none"/>
              </w:rPr>
              <w:t>或</w:t>
            </w:r>
            <w:r>
              <w:rPr>
                <w:rFonts w:hint="eastAsia" w:ascii="宋体" w:hAnsi="宋体" w:cs="宋体"/>
                <w:color w:val="auto"/>
                <w:sz w:val="24"/>
                <w:szCs w:val="24"/>
                <w:highlight w:val="none"/>
              </w:rPr>
              <w:t>检验报告复印件（报告须具有机构资质标识（CMA或CNAS）并盖有检测</w:t>
            </w:r>
            <w:r>
              <w:rPr>
                <w:rFonts w:hint="eastAsia" w:cs="宋体"/>
                <w:color w:val="auto"/>
                <w:sz w:val="24"/>
                <w:szCs w:val="24"/>
                <w:highlight w:val="none"/>
              </w:rPr>
              <w:t>或</w:t>
            </w:r>
            <w:r>
              <w:rPr>
                <w:rFonts w:hint="eastAsia" w:ascii="宋体" w:hAnsi="宋体" w:cs="宋体"/>
                <w:color w:val="auto"/>
                <w:sz w:val="24"/>
                <w:szCs w:val="24"/>
                <w:highlight w:val="none"/>
              </w:rPr>
              <w:t>检验专用章，报告需附有</w:t>
            </w:r>
            <w:r>
              <w:rPr>
                <w:rFonts w:hint="eastAsia" w:ascii="宋体" w:hAnsi="宋体" w:cs="宋体"/>
                <w:color w:val="auto"/>
                <w:sz w:val="24"/>
                <w:szCs w:val="24"/>
                <w:highlight w:val="none"/>
                <w:lang w:bidi="ar"/>
              </w:rPr>
              <w:t>可识别防伪二维码</w:t>
            </w:r>
            <w:r>
              <w:rPr>
                <w:rFonts w:hint="eastAsia" w:ascii="宋体" w:hAnsi="宋体" w:cs="宋体"/>
                <w:color w:val="auto"/>
                <w:sz w:val="24"/>
                <w:szCs w:val="24"/>
                <w:highlight w:val="none"/>
              </w:rPr>
              <w:t>，</w:t>
            </w:r>
            <w:r>
              <w:rPr>
                <w:rFonts w:hint="eastAsia" w:ascii="宋体" w:hAnsi="宋体" w:cs="宋体"/>
                <w:color w:val="auto"/>
                <w:sz w:val="24"/>
                <w:szCs w:val="24"/>
                <w:highlight w:val="none"/>
              </w:rPr>
              <w:t>完全满足以上要求得3分，</w:t>
            </w:r>
            <w:r>
              <w:rPr>
                <w:rFonts w:hint="eastAsia" w:ascii="宋体" w:hAnsi="宋体" w:cs="宋体"/>
                <w:color w:val="auto"/>
                <w:sz w:val="24"/>
                <w:szCs w:val="24"/>
                <w:highlight w:val="none"/>
                <w:lang w:bidi="ar"/>
              </w:rPr>
              <w:t>否则不得分。</w:t>
            </w:r>
          </w:p>
        </w:tc>
        <w:tc>
          <w:tcPr>
            <w:tcW w:w="85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 w:val="left" w:pos="237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bl>
    <w:p>
      <w:pPr>
        <w:tabs>
          <w:tab w:val="left" w:pos="-1080"/>
          <w:tab w:val="left" w:pos="180"/>
          <w:tab w:val="left" w:pos="1080"/>
        </w:tabs>
        <w:spacing w:line="360" w:lineRule="auto"/>
        <w:rPr>
          <w:rFonts w:ascii="宋体" w:hAnsi="宋体" w:cs="宋体"/>
          <w:color w:val="auto"/>
          <w:sz w:val="24"/>
          <w:szCs w:val="24"/>
          <w:highlight w:val="none"/>
        </w:rPr>
      </w:pPr>
    </w:p>
    <w:p>
      <w:pPr>
        <w:tabs>
          <w:tab w:val="left" w:pos="-1080"/>
          <w:tab w:val="left" w:pos="180"/>
          <w:tab w:val="left" w:pos="1080"/>
        </w:tabs>
        <w:spacing w:line="360" w:lineRule="auto"/>
        <w:rPr>
          <w:rFonts w:ascii="宋体" w:hAnsi="宋体" w:cs="宋体"/>
          <w:color w:val="auto"/>
          <w:sz w:val="24"/>
          <w:szCs w:val="24"/>
          <w:highlight w:val="none"/>
        </w:rPr>
      </w:pPr>
    </w:p>
    <w:p>
      <w:pPr>
        <w:tabs>
          <w:tab w:val="left" w:pos="-1080"/>
          <w:tab w:val="left" w:pos="180"/>
          <w:tab w:val="left" w:pos="1080"/>
        </w:tabs>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（二）商务评分(F2)：按15分评分法，商务评分考虑下列因素：</w:t>
      </w:r>
    </w:p>
    <w:tbl>
      <w:tblPr>
        <w:tblStyle w:val="12"/>
        <w:tblW w:w="9325" w:type="dxa"/>
        <w:tblInd w:w="0" w:type="dxa"/>
        <w:tblLayout w:type="fixed"/>
        <w:tblCellMar>
          <w:top w:w="0" w:type="dxa"/>
          <w:left w:w="108" w:type="dxa"/>
          <w:bottom w:w="0" w:type="dxa"/>
          <w:right w:w="108" w:type="dxa"/>
        </w:tblCellMar>
      </w:tblPr>
      <w:tblGrid>
        <w:gridCol w:w="883"/>
        <w:gridCol w:w="7612"/>
        <w:gridCol w:w="830"/>
      </w:tblGrid>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
                <w:bCs/>
                <w:color w:val="auto"/>
                <w:sz w:val="24"/>
                <w:szCs w:val="24"/>
                <w:highlight w:val="none"/>
              </w:rPr>
            </w:pPr>
            <w:r>
              <w:rPr>
                <w:rFonts w:hint="eastAsia" w:ascii="宋体" w:hAnsi="宋体" w:cs="宋体"/>
                <w:b/>
                <w:bCs/>
                <w:color w:val="auto"/>
                <w:sz w:val="24"/>
                <w:szCs w:val="24"/>
                <w:highlight w:val="none"/>
              </w:rPr>
              <w:t>序号</w:t>
            </w:r>
          </w:p>
        </w:tc>
        <w:tc>
          <w:tcPr>
            <w:tcW w:w="761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
                <w:bCs/>
                <w:color w:val="auto"/>
                <w:sz w:val="24"/>
                <w:szCs w:val="24"/>
                <w:highlight w:val="none"/>
              </w:rPr>
            </w:pPr>
            <w:r>
              <w:rPr>
                <w:rFonts w:hint="eastAsia" w:ascii="宋体" w:hAnsi="宋体" w:cs="宋体"/>
                <w:b/>
                <w:bCs/>
                <w:color w:val="auto"/>
                <w:sz w:val="24"/>
                <w:szCs w:val="24"/>
                <w:highlight w:val="none"/>
              </w:rPr>
              <w:t>细则内容</w:t>
            </w:r>
          </w:p>
        </w:tc>
        <w:tc>
          <w:tcPr>
            <w:tcW w:w="83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
                <w:bCs/>
                <w:color w:val="auto"/>
                <w:sz w:val="24"/>
                <w:szCs w:val="24"/>
                <w:highlight w:val="none"/>
              </w:rPr>
            </w:pPr>
            <w:r>
              <w:rPr>
                <w:rFonts w:hint="eastAsia" w:ascii="宋体" w:hAnsi="宋体" w:cs="宋体"/>
                <w:b/>
                <w:bCs/>
                <w:color w:val="auto"/>
                <w:sz w:val="24"/>
                <w:szCs w:val="24"/>
                <w:highlight w:val="none"/>
              </w:rPr>
              <w:t>满分</w:t>
            </w:r>
          </w:p>
          <w:p>
            <w:pPr>
              <w:spacing w:line="360" w:lineRule="auto"/>
              <w:jc w:val="center"/>
              <w:rPr>
                <w:rFonts w:ascii="宋体" w:hAnsi="宋体" w:cs="宋体"/>
                <w:b/>
                <w:bCs/>
                <w:color w:val="auto"/>
                <w:sz w:val="24"/>
                <w:szCs w:val="24"/>
                <w:highlight w:val="none"/>
              </w:rPr>
            </w:pPr>
            <w:r>
              <w:rPr>
                <w:rFonts w:hint="eastAsia" w:ascii="宋体" w:hAnsi="宋体" w:cs="宋体"/>
                <w:b/>
                <w:bCs/>
                <w:color w:val="auto"/>
                <w:sz w:val="24"/>
                <w:szCs w:val="24"/>
                <w:highlight w:val="none"/>
              </w:rPr>
              <w:t>分值</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1-1</w:t>
            </w:r>
          </w:p>
        </w:tc>
        <w:tc>
          <w:tcPr>
            <w:tcW w:w="7612"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cs="宋体"/>
                <w:bCs/>
                <w:color w:val="auto"/>
                <w:sz w:val="24"/>
                <w:szCs w:val="24"/>
                <w:highlight w:val="none"/>
              </w:rPr>
            </w:pPr>
            <w:r>
              <w:rPr>
                <w:rFonts w:hint="eastAsia" w:ascii="宋体" w:hAnsi="宋体" w:cs="宋体"/>
                <w:color w:val="auto"/>
                <w:sz w:val="24"/>
                <w:szCs w:val="24"/>
                <w:highlight w:val="none"/>
              </w:rPr>
              <w:t>投标人具有质量管理体系认证证书的得1分，须提供有效期内的证书复印件，否则不得分。</w:t>
            </w:r>
          </w:p>
        </w:tc>
        <w:tc>
          <w:tcPr>
            <w:tcW w:w="83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1-2</w:t>
            </w:r>
          </w:p>
        </w:tc>
        <w:tc>
          <w:tcPr>
            <w:tcW w:w="7612"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cs="宋体"/>
                <w:bCs/>
                <w:color w:val="auto"/>
                <w:sz w:val="24"/>
                <w:szCs w:val="24"/>
                <w:highlight w:val="none"/>
              </w:rPr>
            </w:pPr>
            <w:r>
              <w:rPr>
                <w:rFonts w:hint="eastAsia" w:ascii="宋体" w:hAnsi="宋体" w:cs="宋体"/>
                <w:color w:val="auto"/>
                <w:sz w:val="24"/>
                <w:szCs w:val="24"/>
                <w:highlight w:val="none"/>
              </w:rPr>
              <w:t>投标人具有环境管理体系认证证书的得1分，须提供有效期内的证书复印件，否则不得分。</w:t>
            </w:r>
          </w:p>
        </w:tc>
        <w:tc>
          <w:tcPr>
            <w:tcW w:w="83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1-3</w:t>
            </w:r>
          </w:p>
        </w:tc>
        <w:tc>
          <w:tcPr>
            <w:tcW w:w="7612" w:type="dxa"/>
            <w:tcBorders>
              <w:top w:val="single" w:color="auto" w:sz="4" w:space="0"/>
              <w:left w:val="single" w:color="auto" w:sz="4" w:space="0"/>
              <w:bottom w:val="single" w:color="auto" w:sz="4" w:space="0"/>
              <w:right w:val="single" w:color="auto" w:sz="4" w:space="0"/>
            </w:tcBorders>
          </w:tcPr>
          <w:p>
            <w:pPr>
              <w:spacing w:line="360" w:lineRule="auto"/>
              <w:rPr>
                <w:rFonts w:ascii="宋体" w:hAnsi="宋体" w:cs="宋体"/>
                <w:bCs/>
                <w:color w:val="auto"/>
                <w:sz w:val="24"/>
                <w:szCs w:val="24"/>
                <w:highlight w:val="none"/>
              </w:rPr>
            </w:pPr>
            <w:r>
              <w:rPr>
                <w:rFonts w:hint="eastAsia" w:ascii="宋体" w:hAnsi="宋体" w:cs="宋体"/>
                <w:color w:val="auto"/>
                <w:sz w:val="24"/>
                <w:szCs w:val="24"/>
                <w:highlight w:val="none"/>
              </w:rPr>
              <w:t>投标人具有职业健康安全管理体系认证证书的得1分，须提供有效期内的证书复印件，否则不得分。</w:t>
            </w:r>
          </w:p>
        </w:tc>
        <w:tc>
          <w:tcPr>
            <w:tcW w:w="83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1-4</w:t>
            </w:r>
          </w:p>
        </w:tc>
        <w:tc>
          <w:tcPr>
            <w:tcW w:w="7612"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s>
              <w:spacing w:line="360" w:lineRule="auto"/>
              <w:rPr>
                <w:rFonts w:ascii="宋体" w:hAnsi="宋体" w:cs="宋体"/>
                <w:bCs/>
                <w:color w:val="auto"/>
                <w:sz w:val="24"/>
                <w:szCs w:val="24"/>
                <w:highlight w:val="none"/>
              </w:rPr>
            </w:pPr>
            <w:r>
              <w:rPr>
                <w:rFonts w:hint="eastAsia" w:ascii="宋体" w:hAnsi="宋体" w:cs="宋体"/>
                <w:color w:val="auto"/>
                <w:sz w:val="24"/>
                <w:szCs w:val="24"/>
                <w:highlight w:val="none"/>
              </w:rPr>
              <w:t>投标人通过五星级售后服务认证的得1分，</w:t>
            </w:r>
            <w:r>
              <w:rPr>
                <w:rFonts w:hint="eastAsia" w:ascii="宋体" w:hAnsi="宋体" w:cs="宋体"/>
                <w:color w:val="auto"/>
                <w:sz w:val="24"/>
                <w:szCs w:val="24"/>
                <w:highlight w:val="none"/>
              </w:rPr>
              <w:t>投标人通过四星级或以下级别售后服务认证的得0.2分</w:t>
            </w:r>
            <w:r>
              <w:rPr>
                <w:rFonts w:hint="eastAsia" w:ascii="宋体" w:hAnsi="宋体" w:cs="宋体"/>
                <w:color w:val="auto"/>
                <w:sz w:val="24"/>
                <w:szCs w:val="24"/>
                <w:highlight w:val="none"/>
              </w:rPr>
              <w:t>，认证依据《商品售后服务评价体系》标准，需提供有效期内的认证证书复印件，否则不得分。</w:t>
            </w:r>
          </w:p>
        </w:tc>
        <w:tc>
          <w:tcPr>
            <w:tcW w:w="83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1-5</w:t>
            </w:r>
          </w:p>
        </w:tc>
        <w:tc>
          <w:tcPr>
            <w:tcW w:w="7612" w:type="dxa"/>
            <w:tcBorders>
              <w:top w:val="single" w:color="auto" w:sz="4" w:space="0"/>
              <w:left w:val="single" w:color="auto" w:sz="4" w:space="0"/>
              <w:bottom w:val="single" w:color="auto" w:sz="4" w:space="0"/>
              <w:right w:val="single" w:color="auto" w:sz="4" w:space="0"/>
            </w:tcBorders>
          </w:tcPr>
          <w:p>
            <w:pPr>
              <w:tabs>
                <w:tab w:val="left" w:pos="-1080"/>
                <w:tab w:val="left" w:pos="180"/>
                <w:tab w:val="left" w:pos="1080"/>
              </w:tabs>
              <w:spacing w:line="360" w:lineRule="auto"/>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根据投标人承诺的交付时间进行评价，承诺合同签订之日起25个日历日内（含交货及安装）完成交付的得3分，承诺合同签订之日起30个日历日内（含交货及安装）完成交付的得2分，承诺合同签订之日起35个日历日内（含交货及安装）完成交付的得1分，其余不得分，投标人需提供书面承诺，否则不得分。</w:t>
            </w:r>
          </w:p>
        </w:tc>
        <w:tc>
          <w:tcPr>
            <w:tcW w:w="830" w:type="dxa"/>
            <w:tcBorders>
              <w:top w:val="single" w:color="auto" w:sz="4" w:space="0"/>
              <w:left w:val="single" w:color="auto" w:sz="4" w:space="0"/>
              <w:bottom w:val="single" w:color="auto" w:sz="4" w:space="0"/>
              <w:right w:val="single" w:color="auto" w:sz="4" w:space="0"/>
            </w:tcBorders>
            <w:vAlign w:val="center"/>
          </w:tcPr>
          <w:p>
            <w:pPr>
              <w:tabs>
                <w:tab w:val="left" w:pos="-1080"/>
                <w:tab w:val="left" w:pos="180"/>
                <w:tab w:val="left" w:pos="1080"/>
              </w:tabs>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1-6</w:t>
            </w:r>
          </w:p>
        </w:tc>
        <w:tc>
          <w:tcPr>
            <w:tcW w:w="7612" w:type="dxa"/>
            <w:tcBorders>
              <w:top w:val="single" w:color="auto" w:sz="4" w:space="0"/>
              <w:left w:val="single" w:color="auto" w:sz="4" w:space="0"/>
              <w:bottom w:val="single" w:color="auto" w:sz="4" w:space="0"/>
              <w:right w:val="single" w:color="auto" w:sz="4" w:space="0"/>
            </w:tcBorders>
          </w:tcPr>
          <w:p>
            <w:pPr>
              <w:tabs>
                <w:tab w:val="left" w:pos="720"/>
              </w:tabs>
              <w:spacing w:line="360" w:lineRule="auto"/>
              <w:ind w:right="18"/>
              <w:rPr>
                <w:rFonts w:ascii="宋体" w:hAnsi="宋体" w:cs="宋体"/>
                <w:bCs/>
                <w:color w:val="auto"/>
                <w:sz w:val="24"/>
                <w:szCs w:val="24"/>
                <w:highlight w:val="none"/>
              </w:rPr>
            </w:pPr>
            <w:r>
              <w:rPr>
                <w:rFonts w:hint="eastAsia" w:ascii="宋体" w:hAnsi="宋体" w:cs="宋体"/>
                <w:color w:val="auto"/>
                <w:sz w:val="24"/>
                <w:szCs w:val="24"/>
                <w:highlight w:val="none"/>
              </w:rPr>
              <w:t>根据投标人自2021年1月1日至开标当日（日期以合同签订时间为准）所完成家具类项目的业绩的有效证明文件进行评价，每提供一个有效业绩得1分，</w:t>
            </w:r>
            <w:r>
              <w:rPr>
                <w:rFonts w:hint="eastAsia" w:ascii="宋体" w:hAnsi="宋体" w:cs="宋体"/>
                <w:color w:val="auto"/>
                <w:sz w:val="24"/>
                <w:szCs w:val="24"/>
                <w:highlight w:val="none"/>
              </w:rPr>
              <w:t>满分3分。业绩证明资料包含该项目的中标（成交）公告（提供相关网站中标（成交）公告的下载网页的复印件及其网址）、中标（成交）通知书复印件、采购合同文本复印件，以及能够证明该项目已经采购单位验收合格的相关证明文件复印件；如未</w:t>
            </w:r>
            <w:r>
              <w:rPr>
                <w:rFonts w:hint="eastAsia" w:ascii="宋体" w:hAnsi="宋体" w:cs="宋体"/>
                <w:color w:val="auto"/>
                <w:sz w:val="24"/>
                <w:szCs w:val="24"/>
                <w:highlight w:val="none"/>
              </w:rPr>
              <w:t>提供该项业绩完整资料的，评标委员会对该项业绩将不予采信。</w:t>
            </w:r>
          </w:p>
        </w:tc>
        <w:tc>
          <w:tcPr>
            <w:tcW w:w="830" w:type="dxa"/>
            <w:tcBorders>
              <w:top w:val="single" w:color="auto" w:sz="4" w:space="0"/>
              <w:left w:val="single" w:color="auto" w:sz="4" w:space="0"/>
              <w:bottom w:val="single" w:color="auto" w:sz="4" w:space="0"/>
              <w:right w:val="single" w:color="auto" w:sz="4" w:space="0"/>
            </w:tcBorders>
            <w:vAlign w:val="center"/>
          </w:tcPr>
          <w:p>
            <w:pPr>
              <w:tabs>
                <w:tab w:val="left" w:pos="720"/>
              </w:tabs>
              <w:spacing w:line="360" w:lineRule="auto"/>
              <w:ind w:right="18"/>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1-7</w:t>
            </w:r>
          </w:p>
        </w:tc>
        <w:tc>
          <w:tcPr>
            <w:tcW w:w="7612" w:type="dxa"/>
            <w:tcBorders>
              <w:top w:val="single" w:color="auto" w:sz="4" w:space="0"/>
              <w:left w:val="single" w:color="auto" w:sz="4" w:space="0"/>
              <w:bottom w:val="single" w:color="auto" w:sz="4" w:space="0"/>
              <w:right w:val="single" w:color="auto" w:sz="4" w:space="0"/>
            </w:tcBorders>
          </w:tcPr>
          <w:p>
            <w:pPr>
              <w:tabs>
                <w:tab w:val="left" w:pos="720"/>
              </w:tabs>
              <w:spacing w:line="360" w:lineRule="auto"/>
              <w:ind w:right="18"/>
              <w:rPr>
                <w:rFonts w:ascii="宋体" w:hAnsi="宋体" w:cs="宋体"/>
                <w:bCs/>
                <w:color w:val="auto"/>
                <w:sz w:val="24"/>
                <w:szCs w:val="24"/>
                <w:highlight w:val="none"/>
              </w:rPr>
            </w:pPr>
            <w:r>
              <w:rPr>
                <w:rFonts w:hint="eastAsia" w:ascii="宋体" w:hAnsi="宋体" w:cs="宋体"/>
                <w:color w:val="auto"/>
                <w:sz w:val="24"/>
                <w:szCs w:val="24"/>
                <w:highlight w:val="none"/>
              </w:rPr>
              <w:t>投标人承诺的质保期在满足招标文件要求</w:t>
            </w:r>
            <w:r>
              <w:rPr>
                <w:rFonts w:hint="eastAsia" w:ascii="宋体" w:hAnsi="宋体" w:cs="宋体"/>
                <w:color w:val="auto"/>
                <w:sz w:val="24"/>
                <w:szCs w:val="24"/>
                <w:highlight w:val="none"/>
              </w:rPr>
              <w:t>（五年）</w:t>
            </w:r>
            <w:r>
              <w:rPr>
                <w:rFonts w:hint="eastAsia" w:ascii="宋体" w:hAnsi="宋体" w:cs="宋体"/>
                <w:color w:val="auto"/>
                <w:sz w:val="24"/>
                <w:szCs w:val="24"/>
                <w:highlight w:val="none"/>
              </w:rPr>
              <w:t>的基础上，每增加壹年加1分，满分2分，投标人需提供单独书面承诺。</w:t>
            </w:r>
          </w:p>
        </w:tc>
        <w:tc>
          <w:tcPr>
            <w:tcW w:w="830" w:type="dxa"/>
            <w:tcBorders>
              <w:top w:val="single" w:color="auto" w:sz="4" w:space="0"/>
              <w:left w:val="single" w:color="auto" w:sz="4" w:space="0"/>
              <w:bottom w:val="single" w:color="auto" w:sz="4" w:space="0"/>
              <w:right w:val="single" w:color="auto" w:sz="4" w:space="0"/>
            </w:tcBorders>
            <w:vAlign w:val="center"/>
          </w:tcPr>
          <w:p>
            <w:pPr>
              <w:tabs>
                <w:tab w:val="left" w:pos="720"/>
              </w:tabs>
              <w:spacing w:line="360" w:lineRule="auto"/>
              <w:ind w:right="18"/>
              <w:jc w:val="center"/>
              <w:rPr>
                <w:rFonts w:ascii="宋体" w:hAnsi="宋体" w:cs="宋体"/>
                <w:bCs/>
                <w:color w:val="auto"/>
                <w:sz w:val="24"/>
                <w:szCs w:val="24"/>
                <w:highlight w:val="none"/>
              </w:rPr>
            </w:pPr>
            <w:r>
              <w:rPr>
                <w:rFonts w:hint="eastAsia" w:ascii="宋体" w:hAnsi="宋体" w:cs="宋体"/>
                <w:bCs/>
                <w:color w:val="auto"/>
                <w:sz w:val="24"/>
                <w:szCs w:val="24"/>
                <w:highlight w:val="none"/>
              </w:rPr>
              <w:t>2</w:t>
            </w:r>
          </w:p>
        </w:tc>
      </w:tr>
      <w:tr>
        <w:tblPrEx>
          <w:tblCellMar>
            <w:top w:w="0" w:type="dxa"/>
            <w:left w:w="108" w:type="dxa"/>
            <w:bottom w:w="0" w:type="dxa"/>
            <w:right w:w="108" w:type="dxa"/>
          </w:tblCellMar>
        </w:tblPrEx>
        <w:tc>
          <w:tcPr>
            <w:tcW w:w="88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bCs/>
                <w:color w:val="auto"/>
                <w:sz w:val="24"/>
                <w:szCs w:val="24"/>
                <w:highlight w:val="none"/>
              </w:rPr>
            </w:pPr>
            <w:r>
              <w:rPr>
                <w:rFonts w:hint="eastAsia" w:ascii="宋体" w:hAnsi="宋体" w:cs="宋体"/>
                <w:bCs/>
                <w:color w:val="auto"/>
                <w:sz w:val="24"/>
                <w:szCs w:val="24"/>
                <w:highlight w:val="none"/>
              </w:rPr>
              <w:t>1-8</w:t>
            </w:r>
          </w:p>
        </w:tc>
        <w:tc>
          <w:tcPr>
            <w:tcW w:w="7612" w:type="dxa"/>
            <w:tcBorders>
              <w:top w:val="single" w:color="auto" w:sz="4" w:space="0"/>
              <w:left w:val="single" w:color="auto" w:sz="4" w:space="0"/>
              <w:bottom w:val="single" w:color="auto" w:sz="4" w:space="0"/>
              <w:right w:val="single" w:color="auto" w:sz="4" w:space="0"/>
            </w:tcBorders>
          </w:tcPr>
          <w:p>
            <w:pPr>
              <w:tabs>
                <w:tab w:val="left" w:pos="720"/>
              </w:tabs>
              <w:spacing w:line="360" w:lineRule="auto"/>
              <w:ind w:right="18"/>
              <w:rPr>
                <w:rFonts w:ascii="宋体" w:hAnsi="宋体" w:cs="宋体"/>
                <w:bCs/>
                <w:color w:val="auto"/>
                <w:sz w:val="24"/>
                <w:szCs w:val="24"/>
                <w:highlight w:val="none"/>
              </w:rPr>
            </w:pPr>
            <w:r>
              <w:rPr>
                <w:rFonts w:hint="eastAsia" w:ascii="宋体" w:hAnsi="宋体" w:cs="宋体"/>
                <w:color w:val="auto"/>
                <w:sz w:val="24"/>
                <w:szCs w:val="24"/>
                <w:highlight w:val="none"/>
                <w:lang w:bidi="ar"/>
              </w:rPr>
              <w:t>投标人有针对本项目制定售后服务方案的，方案中至少包含售后服务团队人员组成、人员名单及联系方式，</w:t>
            </w:r>
            <w:r>
              <w:rPr>
                <w:rFonts w:hint="eastAsia" w:ascii="宋体" w:hAnsi="宋体" w:cs="宋体"/>
                <w:color w:val="auto"/>
                <w:sz w:val="24"/>
                <w:szCs w:val="24"/>
                <w:highlight w:val="none"/>
              </w:rPr>
              <w:t>服务方案具有针对性，有根据项目需求情况提出详细、具体、明确的服务流程、服务方式方法的，得3分；服务方案较为简单，但基本能符合项目需求，有提出服务流程、服务方式方法的，得1分；未提供方案或者方案不可行或不符合项目需求的不得分。</w:t>
            </w:r>
          </w:p>
        </w:tc>
        <w:tc>
          <w:tcPr>
            <w:tcW w:w="830" w:type="dxa"/>
            <w:tcBorders>
              <w:top w:val="single" w:color="auto" w:sz="4" w:space="0"/>
              <w:left w:val="single" w:color="auto" w:sz="4" w:space="0"/>
              <w:bottom w:val="single" w:color="auto" w:sz="4" w:space="0"/>
              <w:right w:val="single" w:color="auto" w:sz="4" w:space="0"/>
            </w:tcBorders>
            <w:vAlign w:val="center"/>
          </w:tcPr>
          <w:p>
            <w:pPr>
              <w:tabs>
                <w:tab w:val="left" w:pos="720"/>
              </w:tabs>
              <w:spacing w:line="360" w:lineRule="auto"/>
              <w:ind w:right="18"/>
              <w:jc w:val="center"/>
              <w:rPr>
                <w:rFonts w:ascii="宋体" w:hAnsi="宋体" w:cs="宋体"/>
                <w:bCs/>
                <w:color w:val="auto"/>
                <w:sz w:val="24"/>
                <w:szCs w:val="24"/>
                <w:highlight w:val="none"/>
              </w:rPr>
            </w:pPr>
            <w:r>
              <w:rPr>
                <w:rFonts w:hint="eastAsia" w:ascii="宋体" w:hAnsi="宋体" w:cs="宋体"/>
                <w:bCs/>
                <w:color w:val="auto"/>
                <w:sz w:val="24"/>
                <w:szCs w:val="24"/>
                <w:highlight w:val="none"/>
              </w:rPr>
              <w:t>3</w:t>
            </w:r>
          </w:p>
        </w:tc>
      </w:tr>
    </w:tbl>
    <w:p>
      <w:pPr>
        <w:tabs>
          <w:tab w:val="left" w:pos="-1080"/>
          <w:tab w:val="left" w:pos="180"/>
          <w:tab w:val="left" w:pos="1080"/>
        </w:tabs>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（三）价格评分(F3)：按</w:t>
      </w:r>
      <w:r>
        <w:rPr>
          <w:rFonts w:hint="eastAsia" w:ascii="宋体" w:hAnsi="宋体" w:cs="宋体"/>
          <w:color w:val="auto"/>
          <w:sz w:val="24"/>
          <w:szCs w:val="24"/>
          <w:highlight w:val="none"/>
        </w:rPr>
        <w:t>30</w:t>
      </w:r>
      <w:r>
        <w:rPr>
          <w:rFonts w:hint="eastAsia" w:ascii="宋体" w:hAnsi="宋体" w:cs="宋体"/>
          <w:color w:val="auto"/>
          <w:sz w:val="24"/>
          <w:szCs w:val="24"/>
          <w:highlight w:val="none"/>
        </w:rPr>
        <w:t>分评分法，评标委员会对各有效标投标报价进行审核确定评标价，并将最低有效标的评标价设为基准价，定其价格得分为</w:t>
      </w:r>
      <w:r>
        <w:rPr>
          <w:rFonts w:hint="eastAsia" w:ascii="宋体" w:hAnsi="宋体" w:cs="宋体"/>
          <w:color w:val="auto"/>
          <w:sz w:val="24"/>
          <w:szCs w:val="24"/>
          <w:highlight w:val="none"/>
        </w:rPr>
        <w:t>30</w:t>
      </w:r>
      <w:r>
        <w:rPr>
          <w:rFonts w:hint="eastAsia" w:ascii="宋体" w:hAnsi="宋体" w:cs="宋体"/>
          <w:color w:val="auto"/>
          <w:sz w:val="24"/>
          <w:szCs w:val="24"/>
          <w:highlight w:val="none"/>
        </w:rPr>
        <w:t>分。按公式：价格得分＝</w:t>
      </w:r>
      <w:r>
        <w:rPr>
          <w:rFonts w:hint="eastAsia" w:ascii="宋体" w:hAnsi="宋体" w:cs="宋体"/>
          <w:color w:val="auto"/>
          <w:sz w:val="24"/>
          <w:szCs w:val="24"/>
          <w:highlight w:val="none"/>
        </w:rPr>
        <w:t>30</w:t>
      </w:r>
      <w:r>
        <w:rPr>
          <w:rFonts w:hint="eastAsia" w:ascii="宋体" w:hAnsi="宋体" w:cs="宋体"/>
          <w:color w:val="auto"/>
          <w:sz w:val="24"/>
          <w:szCs w:val="24"/>
          <w:highlight w:val="none"/>
        </w:rPr>
        <w:sym w:font="Symbol" w:char="00B4"/>
      </w:r>
      <w:r>
        <w:rPr>
          <w:rFonts w:hint="eastAsia" w:ascii="宋体" w:hAnsi="宋体" w:cs="宋体"/>
          <w:color w:val="auto"/>
          <w:sz w:val="24"/>
          <w:szCs w:val="24"/>
          <w:highlight w:val="none"/>
        </w:rPr>
        <w:t xml:space="preserve"> （基准价/各个通过审核的有效投标人的评标价）计算，由此算出各个通过审核的有效投标人的价格得分。</w:t>
      </w:r>
    </w:p>
    <w:p>
      <w:pPr>
        <w:spacing w:line="360" w:lineRule="auto"/>
        <w:ind w:firstLine="480" w:firstLineChars="200"/>
        <w:rPr>
          <w:rFonts w:ascii="宋体" w:hAnsi="宋体" w:cs="宋体"/>
          <w:b/>
          <w:color w:val="auto"/>
          <w:sz w:val="24"/>
          <w:szCs w:val="24"/>
          <w:highlight w:val="none"/>
        </w:rPr>
      </w:pPr>
      <w:r>
        <w:rPr>
          <w:rFonts w:hint="eastAsia" w:ascii="宋体" w:hAnsi="宋体" w:cs="宋体"/>
          <w:color w:val="auto"/>
          <w:sz w:val="24"/>
          <w:szCs w:val="24"/>
          <w:highlight w:val="none"/>
        </w:rPr>
        <w:t>1、“小型和微型企业产品”的政策：投标人提供的货物既有中型企业制造，也有小微企业制造的，不享受办法规定的小微企业扶持政策。</w:t>
      </w:r>
    </w:p>
    <w:p>
      <w:pPr>
        <w:pStyle w:val="7"/>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联合体各方均为小型、微型企业的，联合体视同为小型、微型企业。按照《财政部 司法部关于政府采购支持监狱企业发展有关问题的通知》（财库〔2014〕68号）有关规定，监狱企业视同小型、微型企业。</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2、节能、环境标志产品价格扣除：</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采购的产品属于节能产品、环境标志产品政府采购品目清单范围的，依据国家确定的认证机构出具的、处于有效期之内的节能产品、环境标志产品认证证书，对获得证书的产品实施政府优先采购。对节能产品、环境标志产品政府采购品目清单范围内，实施优先采购的产品，给予产品价格报价</w:t>
      </w:r>
      <w:r>
        <w:rPr>
          <w:rFonts w:hint="eastAsia" w:ascii="宋体" w:hAnsi="宋体" w:eastAsia="宋体" w:cs="宋体"/>
          <w:color w:val="auto"/>
          <w:kern w:val="2"/>
          <w:sz w:val="24"/>
          <w:szCs w:val="24"/>
          <w:highlight w:val="none"/>
          <w:lang w:val="en-US" w:eastAsia="zh-CN" w:bidi="ar"/>
        </w:rPr>
        <w:t>10%的扣除</w:t>
      </w:r>
      <w:r>
        <w:rPr>
          <w:rFonts w:hint="eastAsia" w:ascii="宋体" w:hAnsi="宋体" w:eastAsia="宋体" w:cs="宋体"/>
          <w:color w:val="auto"/>
          <w:kern w:val="2"/>
          <w:sz w:val="24"/>
          <w:szCs w:val="24"/>
          <w:highlight w:val="none"/>
          <w:lang w:val="en-US" w:eastAsia="zh-CN" w:bidi="ar"/>
        </w:rPr>
        <w:t>，用扣除后的价格参加评审。采购标的同时包含其它非优先采购产品的，投标人须对优先采购产品和非优先采购产品进行分项报价，非优先采购产品的报价不得享受给予节能产品、环境标志产品的价格扣除优惠。</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具体要求如下：</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1）采购的产品属于《节能产品政府采购品目清单》范围内的产品或《环境标志产品政府采购品目清单》范围内的产品，且供应商提供的产品已取得节能（强制采购节能产品的除外）、环境标志产品认证证书（处于有效期内）。</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2）投标人应分别明确节能或环境标志产品的名称、数量、分项报价、总报价，并提供认证证书复印件，否则不予价格扣除。若节能产品、环境标志产品认证证书不能反映产品具体信息的，须提供认证证书附件。此外，若投标人对节能或环境标志产品的报价明显高于其他同类产品的报价，投标人应按评标委员会要求作出说明并提供相关证明材料，不能合理说明或不能提供相关证明材料的，不予价格扣除。</w:t>
      </w:r>
    </w:p>
    <w:p>
      <w:pPr>
        <w:keepNext w:val="0"/>
        <w:keepLines w:val="0"/>
        <w:widowControl/>
        <w:suppressLineNumbers w:val="0"/>
        <w:spacing w:before="0" w:beforeAutospacing="0" w:after="0" w:afterAutospacing="0" w:line="360" w:lineRule="auto"/>
        <w:ind w:left="0" w:right="0" w:firstLine="480" w:firstLineChars="200"/>
        <w:jc w:val="both"/>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lang w:val="en-US" w:eastAsia="zh-CN" w:bidi="ar"/>
        </w:rPr>
        <w:t>若节能、环境标志产品仅是构成投标产品的部件、组件或零件，则该投标产品不享受鼓励优惠政策。属于政府强制采购的节能产品不享受价格扣除优惠。若投标产品既属于节能产品又属于环境标志产品，分别计算价格扣除优惠。</w:t>
      </w:r>
    </w:p>
    <w:p>
      <w:pPr>
        <w:tabs>
          <w:tab w:val="left" w:pos="-1080"/>
          <w:tab w:val="left" w:pos="180"/>
          <w:tab w:val="left" w:pos="108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（四）综合得分= F1+ F2 + F3 。</w:t>
      </w:r>
    </w:p>
    <w:p>
      <w:pPr>
        <w:pStyle w:val="7"/>
        <w:spacing w:line="360" w:lineRule="auto"/>
        <w:ind w:firstLine="720" w:firstLineChars="300"/>
        <w:rPr>
          <w:rFonts w:hAnsi="宋体" w:cs="宋体"/>
          <w:color w:val="auto"/>
          <w:sz w:val="24"/>
          <w:szCs w:val="24"/>
          <w:highlight w:val="none"/>
        </w:rPr>
      </w:pPr>
    </w:p>
    <w:p>
      <w:pPr>
        <w:pStyle w:val="7"/>
        <w:spacing w:line="360" w:lineRule="auto"/>
        <w:ind w:firstLine="720" w:firstLineChars="300"/>
        <w:rPr>
          <w:rFonts w:hAnsi="宋体" w:cs="宋体"/>
          <w:color w:val="auto"/>
          <w:sz w:val="24"/>
          <w:szCs w:val="24"/>
          <w:highlight w:val="none"/>
        </w:rPr>
      </w:pPr>
    </w:p>
    <w:p>
      <w:pPr>
        <w:pStyle w:val="7"/>
        <w:spacing w:line="360" w:lineRule="auto"/>
        <w:ind w:firstLine="720" w:firstLineChars="300"/>
        <w:rPr>
          <w:rFonts w:hAnsi="宋体" w:cs="宋体"/>
          <w:color w:val="auto"/>
          <w:sz w:val="24"/>
          <w:szCs w:val="24"/>
          <w:highlight w:val="none"/>
        </w:rPr>
      </w:pPr>
    </w:p>
    <w:p>
      <w:pPr>
        <w:pStyle w:val="7"/>
        <w:spacing w:line="360" w:lineRule="auto"/>
        <w:ind w:firstLine="720" w:firstLineChars="300"/>
        <w:rPr>
          <w:rFonts w:hAnsi="宋体" w:cs="宋体"/>
          <w:color w:val="auto"/>
          <w:sz w:val="24"/>
          <w:szCs w:val="24"/>
          <w:highlight w:val="none"/>
        </w:rPr>
      </w:pPr>
    </w:p>
    <w:p>
      <w:pPr>
        <w:pStyle w:val="7"/>
        <w:spacing w:line="360" w:lineRule="auto"/>
        <w:ind w:firstLine="720" w:firstLineChars="300"/>
        <w:rPr>
          <w:rFonts w:hAnsi="宋体" w:cs="宋体"/>
          <w:color w:val="auto"/>
          <w:sz w:val="24"/>
          <w:szCs w:val="24"/>
          <w:highlight w:val="none"/>
        </w:rPr>
      </w:pPr>
    </w:p>
    <w:p>
      <w:pPr>
        <w:pStyle w:val="7"/>
        <w:spacing w:line="360" w:lineRule="auto"/>
        <w:ind w:firstLine="720" w:firstLineChars="300"/>
        <w:rPr>
          <w:rFonts w:hAnsi="宋体" w:cs="宋体"/>
          <w:color w:val="auto"/>
          <w:sz w:val="24"/>
          <w:szCs w:val="24"/>
          <w:highlight w:val="none"/>
        </w:rPr>
      </w:pPr>
    </w:p>
    <w:p>
      <w:pPr>
        <w:pStyle w:val="7"/>
        <w:spacing w:line="360" w:lineRule="auto"/>
        <w:ind w:firstLine="720" w:firstLineChars="300"/>
        <w:rPr>
          <w:rFonts w:hAnsi="宋体" w:cs="宋体"/>
          <w:color w:val="auto"/>
          <w:sz w:val="24"/>
          <w:szCs w:val="24"/>
          <w:highlight w:val="none"/>
        </w:rPr>
      </w:pPr>
    </w:p>
    <w:p>
      <w:pPr>
        <w:pStyle w:val="7"/>
        <w:spacing w:line="360" w:lineRule="auto"/>
        <w:ind w:firstLine="720" w:firstLineChars="300"/>
        <w:rPr>
          <w:rFonts w:hAnsi="宋体" w:cs="宋体"/>
          <w:color w:val="auto"/>
          <w:sz w:val="24"/>
          <w:szCs w:val="24"/>
          <w:highlight w:val="none"/>
        </w:rPr>
      </w:pPr>
    </w:p>
    <w:p>
      <w:pPr>
        <w:spacing w:line="360" w:lineRule="auto"/>
        <w:ind w:firstLine="1280" w:firstLineChars="400"/>
        <w:rPr>
          <w:rFonts w:ascii="宋体" w:hAnsi="宋体" w:cs="宋体"/>
          <w:color w:val="auto"/>
          <w:sz w:val="32"/>
          <w:szCs w:val="32"/>
          <w:highlight w:val="none"/>
        </w:rPr>
      </w:pPr>
      <w:r>
        <w:rPr>
          <w:rFonts w:hint="eastAsia" w:ascii="宋体" w:hAnsi="宋体" w:cs="宋体"/>
          <w:color w:val="auto"/>
          <w:sz w:val="32"/>
          <w:szCs w:val="32"/>
          <w:highlight w:val="none"/>
        </w:rPr>
        <w:t>投标人须知前附表4：中小企业优惠办法</w:t>
      </w:r>
    </w:p>
    <w:tbl>
      <w:tblPr>
        <w:tblStyle w:val="12"/>
        <w:tblW w:w="86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77"/>
        <w:gridCol w:w="60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00"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序号</w:t>
            </w:r>
          </w:p>
        </w:tc>
        <w:tc>
          <w:tcPr>
            <w:tcW w:w="1677"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项目</w:t>
            </w:r>
          </w:p>
        </w:tc>
        <w:tc>
          <w:tcPr>
            <w:tcW w:w="6063" w:type="dxa"/>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具体内容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jc w:val="center"/>
        </w:trPr>
        <w:tc>
          <w:tcPr>
            <w:tcW w:w="900" w:type="dxa"/>
            <w:vAlign w:val="center"/>
          </w:tcPr>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1</w:t>
            </w:r>
          </w:p>
        </w:tc>
        <w:tc>
          <w:tcPr>
            <w:tcW w:w="1677" w:type="dxa"/>
            <w:vAlign w:val="center"/>
          </w:tcPr>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本项目是否属于专门面向中小企业的政府采购活动：</w:t>
            </w:r>
          </w:p>
        </w:tc>
        <w:tc>
          <w:tcPr>
            <w:tcW w:w="6063" w:type="dxa"/>
            <w:vAlign w:val="center"/>
          </w:tcPr>
          <w:p>
            <w:pPr>
              <w:spacing w:line="360" w:lineRule="auto"/>
              <w:rPr>
                <w:rFonts w:hint="eastAsia" w:eastAsia="宋体"/>
                <w:color w:val="auto"/>
                <w:highlight w:val="none"/>
                <w:lang w:eastAsia="zh-CN"/>
              </w:rPr>
            </w:pPr>
            <w:r>
              <w:rPr>
                <w:rFonts w:hint="eastAsia" w:ascii="宋体" w:hAnsi="宋体" w:cs="宋体"/>
                <w:b/>
                <w:color w:val="auto"/>
                <w:sz w:val="24"/>
                <w:szCs w:val="24"/>
                <w:highlight w:val="none"/>
                <w:lang w:val="en-US" w:eastAsia="zh-CN"/>
              </w:rPr>
              <w:t>*1.1</w:t>
            </w:r>
            <w:r>
              <w:rPr>
                <w:rFonts w:hint="eastAsia" w:ascii="宋体" w:hAnsi="宋体" w:cs="宋体"/>
                <w:color w:val="auto"/>
                <w:sz w:val="24"/>
                <w:szCs w:val="24"/>
                <w:highlight w:val="none"/>
              </w:rPr>
              <w:t>本项目专门面向中小企业采购，</w:t>
            </w:r>
            <w:r>
              <w:rPr>
                <w:rFonts w:hint="eastAsia" w:ascii="宋体" w:hAnsi="宋体" w:cs="宋体"/>
                <w:color w:val="auto"/>
                <w:sz w:val="24"/>
                <w:szCs w:val="24"/>
                <w:highlight w:val="none"/>
                <w:lang w:val="en-US" w:eastAsia="zh-CN"/>
              </w:rPr>
              <w:t>投标人</w:t>
            </w:r>
            <w:r>
              <w:rPr>
                <w:rFonts w:hint="eastAsia" w:ascii="宋体" w:hAnsi="宋体" w:cs="宋体"/>
                <w:color w:val="auto"/>
                <w:sz w:val="24"/>
                <w:szCs w:val="24"/>
                <w:highlight w:val="none"/>
              </w:rPr>
              <w:t>所投所有采购标的均须为小微企业制造，否则作无效投标处理，投标人需提供中小企业声明函，同时本</w:t>
            </w:r>
            <w:r>
              <w:rPr>
                <w:rFonts w:hint="eastAsia" w:ascii="宋体" w:hAnsi="宋体" w:cs="宋体"/>
                <w:color w:val="auto"/>
                <w:sz w:val="24"/>
                <w:szCs w:val="24"/>
                <w:highlight w:val="none"/>
                <w:lang w:val="en-US" w:eastAsia="zh-CN"/>
              </w:rPr>
              <w:t>项目</w:t>
            </w:r>
            <w:r>
              <w:rPr>
                <w:rFonts w:hint="eastAsia" w:ascii="宋体" w:hAnsi="宋体" w:cs="宋体"/>
                <w:color w:val="auto"/>
                <w:sz w:val="24"/>
                <w:szCs w:val="24"/>
                <w:highlight w:val="none"/>
              </w:rPr>
              <w:t>不再执行</w:t>
            </w:r>
            <w:r>
              <w:rPr>
                <w:rFonts w:hint="eastAsia" w:ascii="宋体" w:hAnsi="宋体" w:cs="宋体"/>
                <w:color w:val="auto"/>
                <w:sz w:val="24"/>
                <w:szCs w:val="24"/>
                <w:highlight w:val="none"/>
                <w:lang w:val="en-US" w:eastAsia="zh-CN"/>
              </w:rPr>
              <w:t>小微企业</w:t>
            </w:r>
            <w:r>
              <w:rPr>
                <w:rFonts w:hint="eastAsia" w:ascii="宋体" w:hAnsi="宋体" w:cs="宋体"/>
                <w:color w:val="auto"/>
                <w:sz w:val="24"/>
                <w:szCs w:val="24"/>
                <w:highlight w:val="none"/>
              </w:rPr>
              <w:t>价格评审优惠的扶持政策。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jc w:val="center"/>
        </w:trPr>
        <w:tc>
          <w:tcPr>
            <w:tcW w:w="900" w:type="dxa"/>
            <w:vAlign w:val="center"/>
          </w:tcPr>
          <w:p>
            <w:pPr>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2</w:t>
            </w:r>
          </w:p>
        </w:tc>
        <w:tc>
          <w:tcPr>
            <w:tcW w:w="1677" w:type="dxa"/>
            <w:vAlign w:val="center"/>
          </w:tcPr>
          <w:p>
            <w:pPr>
              <w:spacing w:line="360" w:lineRule="auto"/>
              <w:jc w:val="center"/>
              <w:rPr>
                <w:rFonts w:ascii="宋体" w:hAnsi="宋体" w:cs="宋体"/>
                <w:color w:val="auto"/>
                <w:sz w:val="24"/>
                <w:szCs w:val="24"/>
                <w:highlight w:val="none"/>
              </w:rPr>
            </w:pPr>
            <w:r>
              <w:rPr>
                <w:rFonts w:hint="eastAsia" w:ascii="宋体" w:hAnsi="宋体" w:cs="宋体"/>
                <w:b/>
                <w:color w:val="auto"/>
                <w:sz w:val="24"/>
                <w:szCs w:val="24"/>
                <w:highlight w:val="none"/>
              </w:rPr>
              <w:t>中小企业的认定标准</w:t>
            </w:r>
          </w:p>
        </w:tc>
        <w:tc>
          <w:tcPr>
            <w:tcW w:w="6063" w:type="dxa"/>
          </w:tcPr>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中小企业参加政府采购活动，应当出具《中小企业声明函》，否则不得享受相关中小企业扶持政策。</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须满足以下条件，才能认定为中小企业</w:t>
            </w:r>
            <w:r>
              <w:rPr>
                <w:rFonts w:hint="eastAsia" w:ascii="宋体" w:hAnsi="宋体" w:cs="宋体"/>
                <w:b/>
                <w:color w:val="auto"/>
                <w:sz w:val="24"/>
                <w:szCs w:val="24"/>
                <w:highlight w:val="none"/>
              </w:rPr>
              <w:t>（含中型、小型、微型企业，下同）</w:t>
            </w:r>
            <w:r>
              <w:rPr>
                <w:rFonts w:hint="eastAsia" w:ascii="宋体" w:hAnsi="宋体" w:cs="宋体"/>
                <w:color w:val="auto"/>
                <w:sz w:val="24"/>
                <w:szCs w:val="24"/>
                <w:highlight w:val="none"/>
              </w:rPr>
              <w:t>：</w:t>
            </w:r>
          </w:p>
          <w:p>
            <w:pPr>
              <w:spacing w:line="360" w:lineRule="auto"/>
              <w:ind w:firstLine="480" w:firstLineChars="200"/>
              <w:rPr>
                <w:rFonts w:ascii="宋体" w:hAnsi="宋体" w:cs="宋体"/>
                <w:color w:val="auto"/>
                <w:sz w:val="24"/>
                <w:szCs w:val="24"/>
                <w:highlight w:val="none"/>
              </w:rPr>
            </w:pPr>
            <w:r>
              <w:rPr>
                <w:rFonts w:hint="eastAsia" w:ascii="宋体" w:hAnsi="宋体" w:cs="宋体"/>
                <w:bCs/>
                <w:color w:val="auto"/>
                <w:sz w:val="24"/>
                <w:szCs w:val="24"/>
                <w:highlight w:val="none"/>
              </w:rPr>
              <w:t>《政府采购促进中小企业发展管理办法》（财库〔2020〕46号）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8" w:hRule="atLeast"/>
          <w:jc w:val="center"/>
        </w:trPr>
        <w:tc>
          <w:tcPr>
            <w:tcW w:w="900" w:type="dxa"/>
            <w:vAlign w:val="center"/>
          </w:tcPr>
          <w:p>
            <w:pPr>
              <w:widowControl/>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3</w:t>
            </w:r>
          </w:p>
        </w:tc>
        <w:tc>
          <w:tcPr>
            <w:tcW w:w="1677" w:type="dxa"/>
            <w:vAlign w:val="center"/>
          </w:tcPr>
          <w:p>
            <w:pPr>
              <w:widowControl/>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优惠办法：</w:t>
            </w:r>
          </w:p>
        </w:tc>
        <w:tc>
          <w:tcPr>
            <w:tcW w:w="6063" w:type="dxa"/>
            <w:tcBorders>
              <w:bottom w:val="single" w:color="auto" w:sz="4" w:space="0"/>
            </w:tcBorders>
          </w:tcPr>
          <w:p>
            <w:pPr>
              <w:spacing w:line="360" w:lineRule="auto"/>
              <w:ind w:left="-65" w:leftChars="-31" w:firstLine="12" w:firstLineChars="5"/>
              <w:rPr>
                <w:rFonts w:ascii="宋体" w:hAnsi="宋体" w:cs="宋体"/>
                <w:b/>
                <w:color w:val="auto"/>
                <w:sz w:val="24"/>
                <w:szCs w:val="24"/>
                <w:highlight w:val="none"/>
              </w:rPr>
            </w:pPr>
            <w:r>
              <w:rPr>
                <w:rFonts w:hint="eastAsia" w:ascii="宋体" w:hAnsi="宋体" w:cs="宋体"/>
                <w:b/>
                <w:color w:val="auto"/>
                <w:sz w:val="24"/>
                <w:szCs w:val="24"/>
                <w:highlight w:val="none"/>
              </w:rPr>
              <w:t>投标人为中小企业（含中型、小型、微型企业，下同）：</w:t>
            </w:r>
          </w:p>
          <w:p>
            <w:pPr>
              <w:spacing w:line="360" w:lineRule="auto"/>
              <w:ind w:left="411"/>
              <w:rPr>
                <w:rFonts w:ascii="宋体" w:hAnsi="宋体" w:cs="宋体"/>
                <w:color w:val="auto"/>
                <w:spacing w:val="-4"/>
                <w:sz w:val="24"/>
                <w:szCs w:val="24"/>
                <w:highlight w:val="none"/>
              </w:rPr>
            </w:pPr>
            <w:r>
              <w:rPr>
                <w:rFonts w:hint="eastAsia" w:ascii="宋体" w:hAnsi="宋体" w:cs="宋体"/>
                <w:color w:val="auto"/>
                <w:spacing w:val="-4"/>
                <w:sz w:val="24"/>
                <w:szCs w:val="24"/>
                <w:highlight w:val="none"/>
              </w:rPr>
              <w:t>①</w:t>
            </w:r>
            <w:r>
              <w:rPr>
                <w:rFonts w:hint="eastAsia" w:ascii="宋体" w:hAnsi="宋体" w:cs="宋体"/>
                <w:color w:val="auto"/>
                <w:spacing w:val="-4"/>
                <w:sz w:val="24"/>
                <w:szCs w:val="24"/>
                <w:highlight w:val="none"/>
              </w:rPr>
              <w:t>投</w:t>
            </w:r>
            <w:r>
              <w:rPr>
                <w:rFonts w:hint="eastAsia" w:ascii="宋体" w:hAnsi="宋体" w:cs="宋体"/>
                <w:color w:val="auto"/>
                <w:spacing w:val="-4"/>
                <w:sz w:val="24"/>
                <w:szCs w:val="24"/>
                <w:highlight w:val="none"/>
              </w:rPr>
              <w:t>标保证金：按招标文件约定数额的50%交纳</w:t>
            </w:r>
          </w:p>
          <w:p>
            <w:pPr>
              <w:spacing w:line="360" w:lineRule="auto"/>
              <w:ind w:left="-65" w:leftChars="-31" w:firstLine="475" w:firstLineChars="205"/>
              <w:rPr>
                <w:rFonts w:ascii="宋体" w:hAnsi="宋体" w:cs="宋体"/>
                <w:color w:val="auto"/>
                <w:spacing w:val="-4"/>
                <w:sz w:val="24"/>
                <w:szCs w:val="24"/>
                <w:highlight w:val="none"/>
              </w:rPr>
            </w:pPr>
            <w:r>
              <w:rPr>
                <w:rFonts w:hint="eastAsia" w:ascii="宋体" w:hAnsi="宋体" w:cs="宋体"/>
                <w:color w:val="auto"/>
                <w:spacing w:val="-4"/>
                <w:sz w:val="24"/>
                <w:szCs w:val="24"/>
                <w:highlight w:val="none"/>
              </w:rPr>
              <w:t>②履约保证金：按约定比例的50%支付（如果有的话）</w:t>
            </w:r>
          </w:p>
          <w:p>
            <w:pPr>
              <w:spacing w:line="360" w:lineRule="auto"/>
              <w:ind w:left="-65" w:leftChars="-31" w:firstLine="475" w:firstLineChars="205"/>
              <w:rPr>
                <w:rFonts w:ascii="宋体" w:hAnsi="宋体" w:cs="宋体"/>
                <w:color w:val="auto"/>
                <w:spacing w:val="-4"/>
                <w:sz w:val="24"/>
                <w:szCs w:val="24"/>
                <w:highlight w:val="none"/>
              </w:rPr>
            </w:pPr>
            <w:r>
              <w:rPr>
                <w:rFonts w:hint="eastAsia" w:ascii="宋体" w:hAnsi="宋体" w:cs="宋体"/>
                <w:color w:val="auto"/>
                <w:spacing w:val="-4"/>
                <w:sz w:val="24"/>
                <w:szCs w:val="24"/>
                <w:highlight w:val="none"/>
              </w:rPr>
              <w:t>③</w:t>
            </w:r>
            <w:r>
              <w:rPr>
                <w:rStyle w:val="14"/>
                <w:rFonts w:hint="eastAsia" w:ascii="宋体" w:hAnsi="宋体" w:cs="宋体"/>
                <w:b w:val="0"/>
                <w:color w:val="auto"/>
                <w:kern w:val="0"/>
                <w:sz w:val="24"/>
                <w:szCs w:val="24"/>
                <w:highlight w:val="none"/>
              </w:rPr>
              <w:t>代理服务费</w:t>
            </w:r>
            <w:r>
              <w:rPr>
                <w:rFonts w:hint="eastAsia" w:ascii="宋体" w:hAnsi="宋体" w:cs="宋体"/>
                <w:color w:val="auto"/>
                <w:spacing w:val="-4"/>
                <w:sz w:val="24"/>
                <w:szCs w:val="24"/>
                <w:highlight w:val="none"/>
              </w:rPr>
              <w:t>：按招标文件规定的收费标准下调10%</w:t>
            </w:r>
          </w:p>
          <w:p>
            <w:pPr>
              <w:spacing w:line="360" w:lineRule="auto"/>
              <w:ind w:left="-65" w:leftChars="-31" w:firstLine="12" w:firstLineChars="5"/>
              <w:rPr>
                <w:rFonts w:ascii="宋体" w:hAnsi="宋体" w:cs="宋体"/>
                <w:b/>
                <w:color w:val="auto"/>
                <w:spacing w:val="-4"/>
                <w:sz w:val="24"/>
                <w:szCs w:val="24"/>
                <w:highlight w:val="none"/>
              </w:rPr>
            </w:pPr>
          </w:p>
          <w:p>
            <w:pPr>
              <w:spacing w:line="360" w:lineRule="auto"/>
              <w:ind w:left="-65" w:leftChars="-31" w:firstLine="12" w:firstLineChars="5"/>
              <w:rPr>
                <w:rFonts w:ascii="宋体" w:hAnsi="宋体" w:cs="宋体"/>
                <w:b/>
                <w:color w:val="auto"/>
                <w:spacing w:val="-4"/>
                <w:sz w:val="24"/>
                <w:szCs w:val="24"/>
                <w:highlight w:val="none"/>
              </w:rPr>
            </w:pPr>
            <w:r>
              <w:rPr>
                <w:rFonts w:hint="eastAsia" w:ascii="宋体" w:hAnsi="宋体" w:cs="宋体"/>
                <w:b/>
                <w:color w:val="auto"/>
                <w:spacing w:val="-4"/>
                <w:sz w:val="24"/>
                <w:szCs w:val="24"/>
                <w:highlight w:val="none"/>
              </w:rPr>
              <w:t>投标产品为</w:t>
            </w:r>
            <w:r>
              <w:rPr>
                <w:rFonts w:hint="eastAsia" w:ascii="宋体" w:hAnsi="宋体" w:cs="宋体"/>
                <w:b/>
                <w:color w:val="auto"/>
                <w:sz w:val="24"/>
                <w:szCs w:val="24"/>
                <w:highlight w:val="none"/>
              </w:rPr>
              <w:t>小型企业或微型企业生产</w:t>
            </w:r>
            <w:r>
              <w:rPr>
                <w:rFonts w:hint="eastAsia" w:ascii="宋体" w:hAnsi="宋体" w:cs="宋体"/>
                <w:b/>
                <w:color w:val="auto"/>
                <w:spacing w:val="-4"/>
                <w:sz w:val="24"/>
                <w:szCs w:val="24"/>
                <w:highlight w:val="none"/>
              </w:rPr>
              <w:t>：</w:t>
            </w:r>
          </w:p>
          <w:p>
            <w:pPr>
              <w:spacing w:line="360" w:lineRule="auto"/>
              <w:ind w:firstLine="480" w:firstLineChars="200"/>
              <w:rPr>
                <w:rFonts w:ascii="宋体" w:hAnsi="宋体" w:cs="宋体"/>
                <w:b/>
                <w:color w:val="auto"/>
                <w:sz w:val="24"/>
                <w:szCs w:val="24"/>
                <w:highlight w:val="none"/>
              </w:rPr>
            </w:pPr>
            <w:r>
              <w:rPr>
                <w:rFonts w:hint="eastAsia" w:ascii="宋体" w:hAnsi="宋体" w:cs="宋体"/>
                <w:color w:val="auto"/>
                <w:sz w:val="24"/>
                <w:szCs w:val="24"/>
                <w:highlight w:val="none"/>
              </w:rPr>
              <w:t>投标人提供的货物既有中型企业制造，也有小微企业制造的，不享受办法规定的小微企业扶持政策。</w:t>
            </w:r>
          </w:p>
          <w:p>
            <w:pPr>
              <w:pStyle w:val="7"/>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联合体各方均为小型、微型企业的，联合体视同为小型、微型企业。按照《财政部 司法部关于政府采购支持监狱企业发展有关问题的通知》（财库〔2014〕68号）有关规定，监狱企业视同小型、微型企业。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900" w:type="dxa"/>
            <w:vAlign w:val="center"/>
          </w:tcPr>
          <w:p>
            <w:pPr>
              <w:widowControl/>
              <w:spacing w:line="360" w:lineRule="auto"/>
              <w:jc w:val="center"/>
              <w:rPr>
                <w:rFonts w:ascii="宋体" w:hAnsi="宋体" w:cs="宋体"/>
                <w:b/>
                <w:dstrike/>
                <w:color w:val="auto"/>
                <w:sz w:val="24"/>
                <w:szCs w:val="24"/>
                <w:highlight w:val="none"/>
              </w:rPr>
            </w:pPr>
            <w:r>
              <w:rPr>
                <w:rFonts w:hint="eastAsia" w:ascii="宋体" w:hAnsi="宋体" w:cs="宋体"/>
                <w:b/>
                <w:color w:val="auto"/>
                <w:sz w:val="24"/>
                <w:szCs w:val="24"/>
                <w:highlight w:val="none"/>
              </w:rPr>
              <w:t>4</w:t>
            </w:r>
          </w:p>
        </w:tc>
        <w:tc>
          <w:tcPr>
            <w:tcW w:w="1677" w:type="dxa"/>
            <w:vAlign w:val="center"/>
          </w:tcPr>
          <w:p>
            <w:pPr>
              <w:pStyle w:val="11"/>
              <w:spacing w:before="0" w:beforeAutospacing="0" w:after="0" w:afterAutospacing="0" w:line="360" w:lineRule="auto"/>
              <w:rPr>
                <w:color w:val="auto"/>
                <w:highlight w:val="none"/>
              </w:rPr>
            </w:pPr>
            <w:r>
              <w:rPr>
                <w:rFonts w:hint="eastAsia"/>
                <w:color w:val="auto"/>
                <w:highlight w:val="none"/>
              </w:rPr>
              <w:t>本项目对应的中小企业划分标准所属工业</w:t>
            </w:r>
            <w:r>
              <w:rPr>
                <w:rFonts w:hint="eastAsia"/>
                <w:color w:val="auto"/>
                <w:highlight w:val="none"/>
                <w:u w:val="single"/>
              </w:rPr>
              <w:t xml:space="preserve">      行业。</w:t>
            </w:r>
          </w:p>
        </w:tc>
        <w:tc>
          <w:tcPr>
            <w:tcW w:w="6063" w:type="dxa"/>
            <w:tcBorders>
              <w:bottom w:val="single" w:color="auto" w:sz="4" w:space="0"/>
            </w:tcBorders>
          </w:tcPr>
          <w:p>
            <w:pPr>
              <w:spacing w:line="360" w:lineRule="auto"/>
              <w:rPr>
                <w:rFonts w:ascii="宋体" w:hAnsi="宋体" w:cs="宋体"/>
                <w:dstrike/>
                <w:color w:val="auto"/>
                <w:sz w:val="24"/>
                <w:szCs w:val="24"/>
                <w:highlight w:val="none"/>
                <w:u w:val="single"/>
              </w:rPr>
            </w:pPr>
            <w:r>
              <w:rPr>
                <w:rFonts w:hint="eastAsia" w:ascii="宋体" w:hAnsi="宋体" w:cs="宋体"/>
                <w:color w:val="auto"/>
                <w:sz w:val="24"/>
                <w:szCs w:val="24"/>
                <w:highlight w:val="none"/>
              </w:rPr>
              <w:t>现行中小企业划分标准行业包括农、林、牧、渔业，工业，建筑业，批发业，零售业，交通运输业，仓储业，邮政业，住宿业，餐饮业，信息传输业，软件和信息技术服务业，房地产开发经营，物业管理，租赁和商务服务业和其他未列明行业等十六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900" w:type="dxa"/>
            <w:vAlign w:val="center"/>
          </w:tcPr>
          <w:p>
            <w:pPr>
              <w:widowControl/>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5</w:t>
            </w:r>
          </w:p>
        </w:tc>
        <w:tc>
          <w:tcPr>
            <w:tcW w:w="1677" w:type="dxa"/>
            <w:vAlign w:val="center"/>
          </w:tcPr>
          <w:p>
            <w:pPr>
              <w:widowControl/>
              <w:spacing w:line="360" w:lineRule="auto"/>
              <w:jc w:val="center"/>
              <w:rPr>
                <w:rFonts w:ascii="宋体" w:hAnsi="宋体" w:cs="宋体"/>
                <w:b/>
                <w:color w:val="auto"/>
                <w:sz w:val="24"/>
                <w:szCs w:val="24"/>
                <w:highlight w:val="none"/>
              </w:rPr>
            </w:pPr>
            <w:r>
              <w:rPr>
                <w:rFonts w:hint="eastAsia" w:ascii="宋体" w:hAnsi="宋体" w:cs="宋体"/>
                <w:b/>
                <w:color w:val="auto"/>
                <w:sz w:val="24"/>
                <w:szCs w:val="24"/>
                <w:highlight w:val="none"/>
              </w:rPr>
              <w:t>相关风险</w:t>
            </w:r>
          </w:p>
        </w:tc>
        <w:tc>
          <w:tcPr>
            <w:tcW w:w="6063" w:type="dxa"/>
            <w:tcBorders>
              <w:bottom w:val="single" w:color="auto" w:sz="4" w:space="0"/>
            </w:tcBorders>
          </w:tcPr>
          <w:p>
            <w:pPr>
              <w:spacing w:line="360" w:lineRule="auto"/>
              <w:ind w:firstLine="482" w:firstLineChars="200"/>
              <w:rPr>
                <w:rFonts w:ascii="宋体" w:hAnsi="宋体" w:cs="宋体"/>
                <w:b/>
                <w:color w:val="auto"/>
                <w:sz w:val="24"/>
                <w:szCs w:val="24"/>
                <w:highlight w:val="none"/>
              </w:rPr>
            </w:pPr>
            <w:r>
              <w:rPr>
                <w:rFonts w:hint="eastAsia" w:ascii="宋体" w:hAnsi="宋体" w:cs="宋体"/>
                <w:b/>
                <w:color w:val="auto"/>
                <w:sz w:val="24"/>
                <w:szCs w:val="24"/>
                <w:highlight w:val="none"/>
              </w:rPr>
              <w:t>一、经评标委员会评审，存在下列任一情况的，投标人将不被视为中小企业：</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1.投标人不符合“工信部联企业[2011]300号”规定的中小企业标准的；</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2.投标货物全部或部分为使用大型企业注册商标的货物的；</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3.投标文件中标明的中小企业产品的制造商不符合“工信部联企业[2011]300号”规定的中小企业标准的；</w:t>
            </w:r>
          </w:p>
          <w:p>
            <w:pPr>
              <w:spacing w:line="360" w:lineRule="auto"/>
              <w:ind w:firstLine="482" w:firstLineChars="200"/>
              <w:rPr>
                <w:rFonts w:ascii="宋体" w:hAnsi="宋体" w:cs="宋体"/>
                <w:b/>
                <w:color w:val="auto"/>
                <w:kern w:val="0"/>
                <w:sz w:val="24"/>
                <w:szCs w:val="24"/>
                <w:highlight w:val="none"/>
              </w:rPr>
            </w:pPr>
            <w:r>
              <w:rPr>
                <w:rFonts w:hint="eastAsia" w:ascii="宋体" w:hAnsi="宋体" w:cs="宋体"/>
                <w:b/>
                <w:color w:val="auto"/>
                <w:kern w:val="0"/>
                <w:sz w:val="24"/>
                <w:szCs w:val="24"/>
                <w:highlight w:val="none"/>
              </w:rPr>
              <w:t>二、提供虚假声明后果：</w:t>
            </w:r>
          </w:p>
          <w:p>
            <w:pPr>
              <w:widowControl/>
              <w:spacing w:line="360" w:lineRule="auto"/>
              <w:rPr>
                <w:rFonts w:ascii="宋体" w:hAnsi="宋体" w:cs="宋体"/>
                <w:b/>
                <w:i/>
                <w:color w:val="auto"/>
                <w:kern w:val="0"/>
                <w:sz w:val="24"/>
                <w:szCs w:val="24"/>
                <w:highlight w:val="none"/>
                <w:u w:val="single"/>
              </w:rPr>
            </w:pPr>
            <w:r>
              <w:rPr>
                <w:rFonts w:hint="eastAsia" w:ascii="宋体" w:hAnsi="宋体" w:cs="宋体"/>
                <w:color w:val="auto"/>
                <w:kern w:val="0"/>
                <w:sz w:val="24"/>
                <w:szCs w:val="24"/>
                <w:highlight w:val="none"/>
              </w:rPr>
              <w:t>投标人为取得中小企业身份而提供虚假声明，在评审过程中发现的，按无效投标处理，投标保证金不予退还；已取得中标资格的，无论该行为是否影响中标，均取消其中标资格，投标保证金、代理服务费不予退还，该投标人还应承担由此引起的其他经济、法律责任。出现此种情形时，采购单位、招标代理机构将有关情况上报政府采购监管部门，由监管部门按有关规定对其进行相应处罚。采购单位、招标代理机构</w:t>
            </w:r>
            <w:r>
              <w:rPr>
                <w:rFonts w:hint="eastAsia" w:ascii="宋体" w:hAnsi="宋体" w:cs="宋体"/>
                <w:color w:val="auto"/>
                <w:sz w:val="24"/>
                <w:szCs w:val="24"/>
                <w:highlight w:val="none"/>
              </w:rPr>
              <w:t>有权上报财政部门，建议财政部门将该投标人列入不良行为记录名单，在一至三年内禁止该投标人参加政府采购活动并予以通报。</w:t>
            </w:r>
            <w:r>
              <w:rPr>
                <w:rFonts w:hint="eastAsia" w:ascii="宋体" w:hAnsi="宋体" w:cs="宋体"/>
                <w:b/>
                <w:i/>
                <w:color w:val="auto"/>
                <w:kern w:val="0"/>
                <w:sz w:val="24"/>
                <w:szCs w:val="24"/>
                <w:highlight w:val="none"/>
                <w:u w:val="single"/>
              </w:rPr>
              <w:t>（提醒：如果投不满足中小企业的认定标准，则不需要提供《中小企业声明函》，否则因此导致虚假应标的后果由投标人自行承担。）</w:t>
            </w:r>
          </w:p>
        </w:tc>
      </w:tr>
    </w:tbl>
    <w:p>
      <w:pPr>
        <w:spacing w:line="360" w:lineRule="auto"/>
        <w:rPr>
          <w:rFonts w:ascii="宋体" w:hAnsi="宋体" w:cs="宋体"/>
          <w:b/>
          <w:bCs/>
          <w:color w:val="auto"/>
          <w:sz w:val="24"/>
          <w:szCs w:val="24"/>
          <w:highlight w:val="none"/>
        </w:rPr>
        <w:sectPr>
          <w:footerReference r:id="rId7" w:type="default"/>
          <w:pgSz w:w="11907" w:h="16840"/>
          <w:pgMar w:top="1440" w:right="1752" w:bottom="1290" w:left="1752" w:header="851" w:footer="992" w:gutter="0"/>
          <w:pgNumType w:start="1"/>
          <w:cols w:space="720" w:num="1"/>
          <w:docGrid w:linePitch="323" w:charSpace="-2"/>
        </w:sectPr>
      </w:pPr>
    </w:p>
    <w:p>
      <w:pPr>
        <w:pStyle w:val="3"/>
        <w:snapToGrid w:val="0"/>
        <w:spacing w:line="360" w:lineRule="auto"/>
        <w:ind w:firstLine="0"/>
        <w:jc w:val="center"/>
        <w:rPr>
          <w:rFonts w:ascii="宋体" w:hAnsi="宋体" w:cs="宋体"/>
          <w:b/>
          <w:bCs/>
          <w:color w:val="auto"/>
          <w:sz w:val="32"/>
          <w:szCs w:val="32"/>
          <w:highlight w:val="none"/>
        </w:rPr>
      </w:pPr>
      <w:r>
        <w:rPr>
          <w:rFonts w:hint="eastAsia" w:ascii="宋体" w:hAnsi="宋体" w:cs="宋体"/>
          <w:b/>
          <w:color w:val="auto"/>
          <w:sz w:val="32"/>
          <w:szCs w:val="32"/>
          <w:highlight w:val="none"/>
        </w:rPr>
        <w:t xml:space="preserve">第三章  </w:t>
      </w:r>
      <w:r>
        <w:rPr>
          <w:rFonts w:hint="eastAsia" w:ascii="宋体" w:hAnsi="宋体" w:cs="宋体"/>
          <w:b/>
          <w:bCs/>
          <w:color w:val="auto"/>
          <w:sz w:val="32"/>
          <w:szCs w:val="32"/>
          <w:highlight w:val="none"/>
        </w:rPr>
        <w:t>招标内容及要求</w:t>
      </w:r>
    </w:p>
    <w:p>
      <w:pPr>
        <w:pStyle w:val="8"/>
        <w:spacing w:after="0" w:line="360" w:lineRule="auto"/>
        <w:ind w:left="181" w:leftChars="86" w:right="-334" w:rightChars="-159"/>
        <w:rPr>
          <w:rFonts w:ascii="宋体" w:hAnsi="宋体" w:cs="宋体"/>
          <w:b/>
          <w:bCs/>
          <w:color w:val="auto"/>
          <w:sz w:val="24"/>
          <w:szCs w:val="24"/>
          <w:highlight w:val="none"/>
        </w:rPr>
      </w:pPr>
      <w:r>
        <w:rPr>
          <w:rFonts w:hint="eastAsia" w:ascii="宋体" w:hAnsi="宋体" w:cs="宋体"/>
          <w:b/>
          <w:bCs/>
          <w:color w:val="auto"/>
          <w:sz w:val="24"/>
          <w:szCs w:val="24"/>
          <w:highlight w:val="none"/>
        </w:rPr>
        <w:t>提示说明：</w:t>
      </w:r>
    </w:p>
    <w:p>
      <w:pPr>
        <w:pStyle w:val="8"/>
        <w:spacing w:after="0" w:line="360" w:lineRule="auto"/>
        <w:ind w:left="0"/>
        <w:rPr>
          <w:rFonts w:ascii="宋体" w:hAnsi="宋体" w:cs="宋体"/>
          <w:b/>
          <w:bCs/>
          <w:color w:val="auto"/>
          <w:sz w:val="24"/>
          <w:szCs w:val="24"/>
          <w:highlight w:val="none"/>
        </w:rPr>
      </w:pPr>
      <w:r>
        <w:rPr>
          <w:rFonts w:hint="eastAsia" w:ascii="宋体" w:hAnsi="宋体" w:cs="宋体"/>
          <w:b/>
          <w:bCs/>
          <w:color w:val="auto"/>
          <w:sz w:val="24"/>
          <w:szCs w:val="24"/>
          <w:highlight w:val="none"/>
        </w:rPr>
        <w:t>（1）全文中带有“*”的条款为关键性条款，对这些关键性条款的任何负偏离或不满足将导致该投标作无效投标处理。</w:t>
      </w:r>
      <w:r>
        <w:rPr>
          <w:rFonts w:hint="eastAsia" w:ascii="宋体" w:hAnsi="宋体" w:cs="宋体"/>
          <w:b/>
          <w:color w:val="auto"/>
          <w:sz w:val="24"/>
          <w:szCs w:val="24"/>
          <w:highlight w:val="none"/>
        </w:rPr>
        <w:t>投标人应对招标文件中的“*”号条款进行逐条响应，否则评标委员会对其投标做出不利评审，投标人必须自行承担责任。</w:t>
      </w:r>
    </w:p>
    <w:p>
      <w:pPr>
        <w:pStyle w:val="8"/>
        <w:spacing w:after="0" w:line="360" w:lineRule="auto"/>
        <w:ind w:left="0"/>
        <w:rPr>
          <w:rFonts w:ascii="宋体" w:hAnsi="宋体" w:cs="宋体"/>
          <w:b/>
          <w:bCs/>
          <w:color w:val="auto"/>
          <w:sz w:val="24"/>
          <w:szCs w:val="24"/>
          <w:highlight w:val="none"/>
        </w:rPr>
      </w:pPr>
      <w:r>
        <w:rPr>
          <w:rFonts w:hint="eastAsia" w:ascii="宋体" w:hAnsi="宋体" w:cs="宋体"/>
          <w:b/>
          <w:bCs/>
          <w:color w:val="auto"/>
          <w:sz w:val="24"/>
          <w:szCs w:val="24"/>
          <w:highlight w:val="none"/>
        </w:rPr>
        <w:t>（2）本项目以合同包为单位，对于每个合同包，投标人必须完整地提供合同包要求的所有货物和服务，否则该投标人针对该合同包的投标将按照无效投标处理。</w:t>
      </w:r>
    </w:p>
    <w:p>
      <w:pPr>
        <w:pStyle w:val="8"/>
        <w:spacing w:after="0" w:line="360" w:lineRule="auto"/>
        <w:ind w:left="0" w:right="-334" w:rightChars="-159"/>
        <w:rPr>
          <w:rFonts w:ascii="宋体" w:hAnsi="宋体" w:cs="宋体"/>
          <w:b/>
          <w:bCs/>
          <w:color w:val="auto"/>
          <w:sz w:val="24"/>
          <w:szCs w:val="24"/>
          <w:highlight w:val="none"/>
        </w:rPr>
      </w:pPr>
      <w:r>
        <w:rPr>
          <w:rFonts w:hint="eastAsia" w:ascii="宋体" w:hAnsi="宋体" w:cs="宋体"/>
          <w:b/>
          <w:bCs/>
          <w:color w:val="auto"/>
          <w:sz w:val="24"/>
          <w:szCs w:val="24"/>
          <w:highlight w:val="none"/>
        </w:rPr>
        <w:t>（3）若招标文件第三章所述内容与其它部分的条款发生理解冲突，则以第三章所述内容为准；如招标文件发生变更，则相关条款的解释以更改通知为准。</w:t>
      </w:r>
    </w:p>
    <w:p>
      <w:pPr>
        <w:pStyle w:val="8"/>
        <w:spacing w:after="0" w:line="360" w:lineRule="auto"/>
        <w:ind w:left="0"/>
        <w:rPr>
          <w:rFonts w:ascii="宋体" w:hAnsi="宋体" w:cs="宋体"/>
          <w:b/>
          <w:bCs/>
          <w:color w:val="auto"/>
          <w:sz w:val="24"/>
          <w:szCs w:val="24"/>
          <w:highlight w:val="none"/>
        </w:rPr>
      </w:pPr>
      <w:r>
        <w:rPr>
          <w:rFonts w:hint="eastAsia" w:ascii="宋体" w:hAnsi="宋体" w:cs="宋体"/>
          <w:b/>
          <w:bCs/>
          <w:color w:val="auto"/>
          <w:sz w:val="24"/>
          <w:szCs w:val="24"/>
          <w:highlight w:val="none"/>
        </w:rPr>
        <w:t>（4）经评标委员会认定要求澄清的证明文件必须在规定的时间内提供，否则其将不具有中标供应商的资格。</w:t>
      </w:r>
    </w:p>
    <w:p>
      <w:pPr>
        <w:spacing w:line="360" w:lineRule="auto"/>
        <w:rPr>
          <w:rFonts w:ascii="宋体" w:hAnsi="宋体" w:cs="宋体"/>
          <w:b/>
          <w:bCs/>
          <w:color w:val="auto"/>
          <w:sz w:val="24"/>
          <w:szCs w:val="24"/>
          <w:highlight w:val="none"/>
        </w:rPr>
      </w:pPr>
      <w:r>
        <w:rPr>
          <w:rFonts w:hint="eastAsia" w:ascii="宋体" w:hAnsi="宋体" w:cs="宋体"/>
          <w:b/>
          <w:bCs/>
          <w:color w:val="auto"/>
          <w:sz w:val="24"/>
          <w:szCs w:val="24"/>
          <w:highlight w:val="none"/>
        </w:rPr>
        <w:t>（5）资格性证明文件请单独成册。</w:t>
      </w:r>
    </w:p>
    <w:p>
      <w:pPr>
        <w:pStyle w:val="8"/>
        <w:spacing w:after="0" w:line="360" w:lineRule="auto"/>
        <w:ind w:left="0"/>
        <w:rPr>
          <w:rFonts w:ascii="宋体" w:hAnsi="宋体" w:cs="宋体"/>
          <w:b/>
          <w:bCs/>
          <w:color w:val="auto"/>
          <w:sz w:val="24"/>
          <w:szCs w:val="24"/>
          <w:highlight w:val="none"/>
        </w:rPr>
      </w:pPr>
    </w:p>
    <w:p>
      <w:pPr>
        <w:tabs>
          <w:tab w:val="left" w:pos="5130"/>
        </w:tabs>
        <w:spacing w:line="360" w:lineRule="auto"/>
        <w:ind w:firstLine="480" w:firstLineChars="200"/>
        <w:rPr>
          <w:rFonts w:ascii="宋体" w:hAnsi="宋体" w:cs="宋体"/>
          <w:color w:val="auto"/>
          <w:sz w:val="24"/>
          <w:szCs w:val="24"/>
          <w:highlight w:val="none"/>
        </w:rPr>
      </w:pPr>
    </w:p>
    <w:p>
      <w:pPr>
        <w:tabs>
          <w:tab w:val="left" w:pos="5130"/>
        </w:tabs>
        <w:spacing w:line="360" w:lineRule="auto"/>
        <w:ind w:firstLine="480" w:firstLineChars="200"/>
        <w:rPr>
          <w:rFonts w:ascii="宋体" w:hAnsi="宋体" w:cs="宋体"/>
          <w:color w:val="auto"/>
          <w:sz w:val="24"/>
          <w:szCs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pStyle w:val="5"/>
        <w:ind w:firstLine="240"/>
        <w:rPr>
          <w:rFonts w:ascii="宋体" w:hAnsi="宋体" w:cs="宋体"/>
          <w:color w:val="auto"/>
          <w:sz w:val="24"/>
          <w:highlight w:val="none"/>
        </w:rPr>
      </w:pPr>
    </w:p>
    <w:p>
      <w:pPr>
        <w:tabs>
          <w:tab w:val="left" w:pos="5130"/>
        </w:tabs>
        <w:spacing w:line="360" w:lineRule="auto"/>
        <w:ind w:firstLine="480" w:firstLineChars="200"/>
        <w:rPr>
          <w:rFonts w:ascii="宋体" w:hAnsi="宋体" w:cs="宋体"/>
          <w:color w:val="auto"/>
          <w:sz w:val="24"/>
          <w:szCs w:val="24"/>
          <w:highlight w:val="none"/>
        </w:rPr>
      </w:pPr>
    </w:p>
    <w:p>
      <w:pPr>
        <w:tabs>
          <w:tab w:val="left" w:pos="5130"/>
        </w:tabs>
        <w:spacing w:line="360" w:lineRule="auto"/>
        <w:ind w:firstLine="480" w:firstLineChars="200"/>
        <w:rPr>
          <w:rFonts w:ascii="宋体" w:hAnsi="宋体" w:cs="宋体"/>
          <w:color w:val="auto"/>
          <w:sz w:val="24"/>
          <w:szCs w:val="24"/>
          <w:highlight w:val="none"/>
        </w:rPr>
      </w:pPr>
    </w:p>
    <w:p>
      <w:pPr>
        <w:spacing w:line="360" w:lineRule="auto"/>
        <w:ind w:right="28"/>
        <w:jc w:val="left"/>
        <w:rPr>
          <w:rFonts w:ascii="宋体" w:hAnsi="宋体" w:cs="Courier New"/>
          <w:color w:val="auto"/>
          <w:sz w:val="24"/>
          <w:szCs w:val="24"/>
          <w:highlight w:val="none"/>
        </w:rPr>
      </w:pPr>
      <w:r>
        <w:rPr>
          <w:rFonts w:hint="eastAsia" w:ascii="宋体" w:hAnsi="宋体" w:cs="Courier New"/>
          <w:b/>
          <w:color w:val="auto"/>
          <w:sz w:val="24"/>
          <w:szCs w:val="24"/>
          <w:highlight w:val="none"/>
        </w:rPr>
        <w:t>一、技术要求</w:t>
      </w:r>
    </w:p>
    <w:p>
      <w:pPr>
        <w:spacing w:line="360" w:lineRule="auto"/>
        <w:ind w:right="28" w:firstLine="590" w:firstLineChars="245"/>
        <w:jc w:val="left"/>
        <w:rPr>
          <w:rFonts w:ascii="宋体" w:hAnsi="宋体" w:cs="Courier New"/>
          <w:b/>
          <w:color w:val="auto"/>
          <w:sz w:val="24"/>
          <w:szCs w:val="24"/>
          <w:highlight w:val="none"/>
        </w:rPr>
      </w:pPr>
      <w:r>
        <w:rPr>
          <w:rFonts w:hint="eastAsia" w:ascii="宋体" w:hAnsi="宋体" w:cs="Courier New"/>
          <w:b/>
          <w:color w:val="auto"/>
          <w:sz w:val="24"/>
          <w:szCs w:val="24"/>
          <w:highlight w:val="none"/>
        </w:rPr>
        <w:t>1、采购清单技术要求</w:t>
      </w: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0" w:firstLineChars="0"/>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pPr>
    </w:p>
    <w:p>
      <w:pPr>
        <w:spacing w:line="360" w:lineRule="auto"/>
        <w:ind w:right="28" w:firstLine="590" w:firstLineChars="245"/>
        <w:jc w:val="left"/>
        <w:rPr>
          <w:rFonts w:ascii="宋体" w:hAnsi="宋体" w:cs="Courier New"/>
          <w:b/>
          <w:color w:val="auto"/>
          <w:sz w:val="24"/>
          <w:szCs w:val="24"/>
          <w:highlight w:val="none"/>
        </w:rPr>
        <w:sectPr>
          <w:headerReference r:id="rId8" w:type="default"/>
          <w:footerReference r:id="rId9" w:type="default"/>
          <w:pgSz w:w="11906" w:h="16838"/>
          <w:pgMar w:top="851" w:right="851" w:bottom="851" w:left="1134" w:header="567" w:footer="567" w:gutter="0"/>
          <w:pgNumType w:start="1"/>
          <w:cols w:space="720" w:num="1"/>
          <w:docGrid w:linePitch="312" w:charSpace="0"/>
        </w:sectPr>
      </w:pPr>
    </w:p>
    <w:tbl>
      <w:tblPr>
        <w:tblStyle w:val="12"/>
        <w:tblW w:w="15259" w:type="dxa"/>
        <w:tblInd w:w="9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1"/>
        <w:gridCol w:w="1573"/>
        <w:gridCol w:w="8182"/>
        <w:gridCol w:w="1011"/>
        <w:gridCol w:w="931"/>
        <w:gridCol w:w="1701"/>
        <w:gridCol w:w="93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30" w:hRule="atLeast"/>
        </w:trPr>
        <w:tc>
          <w:tcPr>
            <w:tcW w:w="15259" w:type="dxa"/>
            <w:gridSpan w:val="7"/>
            <w:shd w:val="clear" w:color="auto" w:fill="auto"/>
            <w:noWrap/>
            <w:vAlign w:val="center"/>
          </w:tcPr>
          <w:p>
            <w:pPr>
              <w:widowControl/>
              <w:jc w:val="center"/>
              <w:textAlignment w:val="center"/>
              <w:rPr>
                <w:rFonts w:ascii="宋体" w:hAnsi="宋体" w:cs="宋体"/>
                <w:b/>
                <w:bCs/>
                <w:color w:val="auto"/>
                <w:sz w:val="24"/>
                <w:szCs w:val="24"/>
                <w:highlight w:val="none"/>
              </w:rPr>
            </w:pPr>
            <w:r>
              <w:rPr>
                <w:rFonts w:hint="eastAsia" w:ascii="宋体" w:hAnsi="宋体" w:cs="宋体"/>
                <w:b/>
                <w:bCs/>
                <w:color w:val="auto"/>
                <w:kern w:val="0"/>
                <w:sz w:val="24"/>
                <w:szCs w:val="24"/>
                <w:highlight w:val="none"/>
                <w:lang w:bidi="ar"/>
              </w:rPr>
              <w:t>宿舍家具</w:t>
            </w:r>
            <w:r>
              <w:rPr>
                <w:rFonts w:hint="eastAsia" w:ascii="宋体" w:hAnsi="宋体" w:cs="宋体"/>
                <w:b/>
                <w:bCs/>
                <w:color w:val="auto"/>
                <w:kern w:val="0"/>
                <w:sz w:val="24"/>
                <w:szCs w:val="24"/>
                <w:highlight w:val="none"/>
                <w:lang w:eastAsia="zh-CN" w:bidi="ar"/>
              </w:rPr>
              <w:t>（</w:t>
            </w:r>
            <w:r>
              <w:rPr>
                <w:rFonts w:hint="eastAsia" w:ascii="宋体" w:hAnsi="宋体" w:cs="宋体"/>
                <w:b/>
                <w:bCs/>
                <w:color w:val="auto"/>
                <w:kern w:val="0"/>
                <w:sz w:val="24"/>
                <w:szCs w:val="24"/>
                <w:highlight w:val="none"/>
                <w:lang w:bidi="ar"/>
              </w:rPr>
              <w:t>153间</w:t>
            </w:r>
            <w:r>
              <w:rPr>
                <w:rFonts w:hint="eastAsia" w:ascii="宋体" w:hAnsi="宋体" w:cs="宋体"/>
                <w:b/>
                <w:bCs/>
                <w:color w:val="auto"/>
                <w:kern w:val="0"/>
                <w:sz w:val="24"/>
                <w:szCs w:val="24"/>
                <w:highlight w:val="none"/>
                <w:lang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序号</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产品名称</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参数要求</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数量</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单位</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参考图片</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391"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上下铺四人床</w:t>
            </w:r>
          </w:p>
        </w:tc>
        <w:tc>
          <w:tcPr>
            <w:tcW w:w="9863" w:type="dxa"/>
            <w:shd w:val="clear" w:color="auto" w:fill="auto"/>
          </w:tcPr>
          <w:p>
            <w:pPr>
              <w:widowControl/>
              <w:ind w:left="239" w:leftChars="114"/>
              <w:jc w:val="left"/>
              <w:textAlignment w:val="top"/>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1.整体</w:t>
            </w:r>
            <w:r>
              <w:rPr>
                <w:rFonts w:hint="eastAsia" w:ascii="宋体" w:hAnsi="宋体" w:cs="宋体"/>
                <w:color w:val="auto"/>
                <w:kern w:val="0"/>
                <w:sz w:val="24"/>
                <w:szCs w:val="24"/>
                <w:highlight w:val="none"/>
                <w:lang w:bidi="ar"/>
              </w:rPr>
              <w:t>尺寸</w:t>
            </w:r>
            <w:r>
              <w:rPr>
                <w:rFonts w:hint="eastAsia" w:ascii="宋体" w:hAnsi="宋体" w:cs="宋体"/>
                <w:color w:val="auto"/>
                <w:kern w:val="0"/>
                <w:sz w:val="24"/>
                <w:szCs w:val="24"/>
                <w:highlight w:val="none"/>
                <w:lang w:bidi="ar"/>
              </w:rPr>
              <w:t>：4500*1044*1880mm（允许±10mm），双层床尺寸：2000*1044*1880mm（允许±10mm）；</w:t>
            </w:r>
          </w:p>
          <w:p>
            <w:pPr>
              <w:widowControl/>
              <w:ind w:left="239" w:leftChars="114"/>
              <w:jc w:val="left"/>
              <w:textAlignment w:val="top"/>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2.材质：颗粒板+铝合金+钢架；</w:t>
            </w:r>
          </w:p>
          <w:p>
            <w:pPr>
              <w:widowControl/>
              <w:ind w:left="239" w:leftChars="114"/>
              <w:jc w:val="left"/>
              <w:textAlignment w:val="top"/>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3.</w:t>
            </w:r>
            <w:r>
              <w:rPr>
                <w:rFonts w:hint="eastAsia" w:ascii="宋体" w:hAnsi="宋体" w:cs="宋体"/>
                <w:color w:val="auto"/>
                <w:kern w:val="0"/>
                <w:sz w:val="24"/>
                <w:szCs w:val="24"/>
                <w:highlight w:val="none"/>
                <w:lang w:bidi="ar"/>
              </w:rPr>
              <w:t>工艺：</w:t>
            </w:r>
            <w:r>
              <w:rPr>
                <w:rFonts w:hint="eastAsia" w:ascii="宋体" w:hAnsi="宋体" w:cs="宋体"/>
                <w:color w:val="auto"/>
                <w:kern w:val="0"/>
                <w:sz w:val="24"/>
                <w:szCs w:val="24"/>
                <w:highlight w:val="none"/>
                <w:lang w:bidi="ar"/>
              </w:rPr>
              <w:t>立柱</w:t>
            </w:r>
            <w:r>
              <w:rPr>
                <w:rFonts w:hint="eastAsia" w:ascii="宋体" w:hAnsi="宋体" w:cs="宋体"/>
                <w:color w:val="auto"/>
                <w:kern w:val="0"/>
                <w:sz w:val="24"/>
                <w:szCs w:val="24"/>
                <w:highlight w:val="none"/>
                <w:lang w:bidi="ar"/>
              </w:rPr>
              <w:t>采用L形去转角造型 ，宽度35*厚度2.0mm</w:t>
            </w:r>
            <w:r>
              <w:rPr>
                <w:rFonts w:hint="eastAsia" w:ascii="宋体" w:hAnsi="宋体" w:cs="宋体"/>
                <w:color w:val="auto"/>
                <w:kern w:val="0"/>
                <w:sz w:val="24"/>
                <w:szCs w:val="24"/>
                <w:highlight w:val="none"/>
                <w:lang w:bidi="ar"/>
              </w:rPr>
              <w:t>（允许±0.2mm）</w:t>
            </w:r>
            <w:r>
              <w:rPr>
                <w:rFonts w:hint="eastAsia" w:ascii="宋体" w:hAnsi="宋体" w:cs="宋体"/>
                <w:color w:val="auto"/>
                <w:kern w:val="0"/>
                <w:sz w:val="24"/>
                <w:szCs w:val="24"/>
                <w:highlight w:val="none"/>
                <w:lang w:bidi="ar"/>
              </w:rPr>
              <w:t>铝合金挤出成型并高温粉体烤漆,内嵌1845*25*厚度1.5mm</w:t>
            </w:r>
            <w:r>
              <w:rPr>
                <w:rFonts w:hint="eastAsia" w:ascii="宋体" w:hAnsi="宋体" w:cs="宋体"/>
                <w:color w:val="auto"/>
                <w:kern w:val="0"/>
                <w:sz w:val="24"/>
                <w:szCs w:val="24"/>
                <w:highlight w:val="none"/>
                <w:lang w:bidi="ar"/>
              </w:rPr>
              <w:t>（允许±0.2mm）PVC胶条，</w:t>
            </w:r>
            <w:r>
              <w:rPr>
                <w:rFonts w:hint="eastAsia" w:ascii="宋体" w:hAnsi="宋体" w:cs="宋体"/>
                <w:color w:val="auto"/>
                <w:kern w:val="0"/>
                <w:sz w:val="24"/>
                <w:szCs w:val="24"/>
                <w:highlight w:val="none"/>
                <w:lang w:bidi="ar"/>
              </w:rPr>
              <w:t>上下盖采用ABS塑胶射出成型,下部脚座尼龙质加耐磨耐压调整脚可以水平调整。</w:t>
            </w:r>
            <w:r>
              <w:rPr>
                <w:rFonts w:hint="eastAsia" w:ascii="宋体" w:hAnsi="宋体" w:cs="宋体"/>
                <w:color w:val="auto"/>
                <w:kern w:val="0"/>
                <w:sz w:val="24"/>
                <w:szCs w:val="24"/>
                <w:highlight w:val="none"/>
                <w:lang w:bidi="ar"/>
              </w:rPr>
              <w:t xml:space="preserve">                               </w:t>
            </w:r>
          </w:p>
          <w:p>
            <w:pPr>
              <w:widowControl/>
              <w:ind w:left="239" w:leftChars="114"/>
              <w:jc w:val="left"/>
              <w:textAlignment w:val="top"/>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4.床架尺寸：1925*968*40mm（允许±5mm），两头横杆尺寸925*10*30mm（允许±5mm），两侧钢管尺寸：1925*20*40mm（允许±5mm），中间钢管尺寸：925*20*40mm（允许±5mm），钢管焊接表面焊接抛光成型,烤粉体涂装全自动遂道式九道防锈处理，两次静电涂装，决无漏喷、太薄、流坠等现象，涂膜厚度在21MICORN以上,与床柱固定,安全又牢固.                                                  上侧板尺寸900*410*18mm（允许±5mm），下侧板尺寸900*510*18mm（允许±5mm），基材采用国家标准E1级板，厚度≥18mm,基材采用颗粒板，</w:t>
            </w:r>
            <w:r>
              <w:rPr>
                <w:rFonts w:hint="eastAsia" w:ascii="宋体" w:hAnsi="宋体" w:cs="宋体"/>
                <w:color w:val="auto"/>
                <w:kern w:val="0"/>
                <w:sz w:val="24"/>
                <w:szCs w:val="24"/>
                <w:highlight w:val="none"/>
                <w:lang w:bidi="ar"/>
              </w:rPr>
              <w:t>面贴三聚氰胺</w:t>
            </w:r>
            <w:r>
              <w:rPr>
                <w:rFonts w:hint="eastAsia" w:ascii="宋体" w:hAnsi="宋体" w:cs="宋体"/>
                <w:color w:val="auto"/>
                <w:kern w:val="0"/>
                <w:sz w:val="24"/>
                <w:szCs w:val="24"/>
                <w:highlight w:val="none"/>
                <w:lang w:bidi="ar"/>
              </w:rPr>
              <w:t>纸，PVC直封边制作。                                            5.步梯尺寸：500**968*H1600mm（允许±5mm），材质：采用国家标准E1级板，厚度≥18mm,基材采用颗粒板，面贴三聚氰胺纸，PVC直封边制作。</w:t>
            </w:r>
            <w:r>
              <w:rPr>
                <w:rFonts w:hint="eastAsia" w:ascii="宋体" w:hAnsi="宋体" w:cs="宋体"/>
                <w:color w:val="auto"/>
                <w:kern w:val="0"/>
                <w:sz w:val="24"/>
                <w:szCs w:val="24"/>
                <w:highlight w:val="none"/>
                <w:lang w:bidi="ar"/>
              </w:rPr>
              <w:t>五金件采用</w:t>
            </w:r>
            <w:r>
              <w:rPr>
                <w:rFonts w:hint="eastAsia" w:ascii="宋体" w:hAnsi="宋体" w:cs="宋体"/>
                <w:color w:val="auto"/>
                <w:kern w:val="0"/>
                <w:sz w:val="24"/>
                <w:szCs w:val="24"/>
                <w:highlight w:val="none"/>
                <w:lang w:bidi="ar"/>
              </w:rPr>
              <w:t>液压铰链</w:t>
            </w:r>
            <w:r>
              <w:rPr>
                <w:rFonts w:hint="eastAsia" w:ascii="宋体" w:hAnsi="宋体" w:cs="宋体"/>
                <w:color w:val="auto"/>
                <w:kern w:val="0"/>
                <w:sz w:val="24"/>
                <w:szCs w:val="24"/>
                <w:highlight w:val="none"/>
                <w:lang w:bidi="ar"/>
              </w:rPr>
              <w:t xml:space="preserve">。   </w:t>
            </w:r>
            <w:r>
              <w:rPr>
                <w:rFonts w:hint="eastAsia" w:ascii="宋体" w:hAnsi="宋体" w:cs="宋体"/>
                <w:color w:val="auto"/>
                <w:kern w:val="0"/>
                <w:sz w:val="24"/>
                <w:szCs w:val="24"/>
                <w:highlight w:val="none"/>
                <w:lang w:bidi="ar"/>
              </w:rPr>
              <w:t xml:space="preserve">                                                                          6.床下抽屉尺寸：480*600*H240mm（允许±5mm），材质：采用国家标准E1级板，厚度≥18mm,基材采用颗粒板，面贴三聚氰胺纸，PVC直封边制作。底部带轮子可移动抽拉，轮子尺寸20*25*H18mm（允许±5mm）。                                      前立板尺寸：1860*400*18mm（允许±5mm），分别标有ABCD字母亚克力三角形指示牌,指示牌尺寸为125*115mm（允许±2mm）。                                                                     7.床铺板尺寸：1925*967*18mm（允许±5mm），基材采用18mm厚颗粒板。                                  含2个蚊帐架。</w:t>
            </w:r>
          </w:p>
        </w:tc>
        <w:tc>
          <w:tcPr>
            <w:tcW w:w="81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153 </w:t>
            </w:r>
          </w:p>
        </w:tc>
        <w:tc>
          <w:tcPr>
            <w:tcW w:w="69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套</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66432" behindDoc="0" locked="0" layoutInCell="1" allowOverlap="1">
                  <wp:simplePos x="0" y="0"/>
                  <wp:positionH relativeFrom="column">
                    <wp:posOffset>58420</wp:posOffset>
                  </wp:positionH>
                  <wp:positionV relativeFrom="paragraph">
                    <wp:posOffset>86360</wp:posOffset>
                  </wp:positionV>
                  <wp:extent cx="751205" cy="375285"/>
                  <wp:effectExtent l="0" t="0" r="10795" b="5715"/>
                  <wp:wrapNone/>
                  <wp:docPr id="26" name="图片_24"/>
                  <wp:cNvGraphicFramePr/>
                  <a:graphic xmlns:a="http://schemas.openxmlformats.org/drawingml/2006/main">
                    <a:graphicData uri="http://schemas.openxmlformats.org/drawingml/2006/picture">
                      <pic:pic xmlns:pic="http://schemas.openxmlformats.org/drawingml/2006/picture">
                        <pic:nvPicPr>
                          <pic:cNvPr id="26" name="图片_24"/>
                          <pic:cNvPicPr/>
                        </pic:nvPicPr>
                        <pic:blipFill>
                          <a:blip r:embed="rId14"/>
                          <a:stretch>
                            <a:fillRect/>
                          </a:stretch>
                        </pic:blipFill>
                        <pic:spPr>
                          <a:xfrm>
                            <a:off x="0" y="0"/>
                            <a:ext cx="751205" cy="375285"/>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4"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2</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上床下桌两人床</w:t>
            </w:r>
          </w:p>
        </w:tc>
        <w:tc>
          <w:tcPr>
            <w:tcW w:w="9863" w:type="dxa"/>
            <w:shd w:val="clear" w:color="auto" w:fill="auto"/>
          </w:tcPr>
          <w:p>
            <w:pPr>
              <w:widowControl/>
              <w:jc w:val="left"/>
              <w:textAlignment w:val="top"/>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1.整体</w:t>
            </w:r>
            <w:r>
              <w:rPr>
                <w:rFonts w:hint="eastAsia" w:ascii="宋体" w:hAnsi="宋体" w:cs="宋体"/>
                <w:color w:val="auto"/>
                <w:kern w:val="0"/>
                <w:sz w:val="24"/>
                <w:szCs w:val="24"/>
                <w:highlight w:val="none"/>
                <w:lang w:bidi="ar"/>
              </w:rPr>
              <w:t>尺寸</w:t>
            </w:r>
            <w:r>
              <w:rPr>
                <w:rFonts w:hint="eastAsia" w:ascii="宋体" w:hAnsi="宋体" w:cs="宋体"/>
                <w:color w:val="auto"/>
                <w:kern w:val="0"/>
                <w:sz w:val="24"/>
                <w:szCs w:val="24"/>
                <w:highlight w:val="none"/>
                <w:lang w:bidi="ar"/>
              </w:rPr>
              <w:t>：4500*1044*1880mm（允许±10mm），上床下桌单人床尺寸：2000*1044*1880mm（允许±10mm）；</w:t>
            </w:r>
          </w:p>
          <w:p>
            <w:pPr>
              <w:widowControl/>
              <w:jc w:val="left"/>
              <w:textAlignment w:val="top"/>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2.材质：颗粒板+铝合金+钢架；</w:t>
            </w:r>
          </w:p>
          <w:p>
            <w:pPr>
              <w:widowControl/>
              <w:jc w:val="left"/>
              <w:textAlignment w:val="top"/>
              <w:rPr>
                <w:rFonts w:ascii="宋体" w:hAnsi="宋体" w:cs="宋体"/>
                <w:color w:val="auto"/>
                <w:sz w:val="24"/>
                <w:szCs w:val="24"/>
                <w:highlight w:val="none"/>
              </w:rPr>
            </w:pPr>
            <w:r>
              <w:rPr>
                <w:rFonts w:hint="eastAsia" w:ascii="宋体" w:hAnsi="宋体" w:cs="宋体"/>
                <w:color w:val="auto"/>
                <w:kern w:val="0"/>
                <w:sz w:val="24"/>
                <w:szCs w:val="24"/>
                <w:highlight w:val="none"/>
                <w:lang w:bidi="ar"/>
              </w:rPr>
              <w:t>3.工艺：</w:t>
            </w:r>
            <w:r>
              <w:rPr>
                <w:rFonts w:hint="eastAsia" w:ascii="宋体" w:hAnsi="宋体" w:cs="宋体"/>
                <w:color w:val="auto"/>
                <w:kern w:val="0"/>
                <w:sz w:val="24"/>
                <w:szCs w:val="24"/>
                <w:highlight w:val="none"/>
                <w:lang w:bidi="ar"/>
              </w:rPr>
              <w:t>立柱</w:t>
            </w:r>
            <w:r>
              <w:rPr>
                <w:rFonts w:hint="eastAsia" w:ascii="宋体" w:hAnsi="宋体" w:cs="宋体"/>
                <w:color w:val="auto"/>
                <w:kern w:val="0"/>
                <w:sz w:val="24"/>
                <w:szCs w:val="24"/>
                <w:highlight w:val="none"/>
                <w:lang w:bidi="ar"/>
              </w:rPr>
              <w:t>采用L形去转角造型 ，宽度35*厚度2.0mm</w:t>
            </w:r>
            <w:r>
              <w:rPr>
                <w:rFonts w:hint="eastAsia" w:ascii="宋体" w:hAnsi="宋体" w:cs="宋体"/>
                <w:color w:val="auto"/>
                <w:kern w:val="0"/>
                <w:sz w:val="24"/>
                <w:szCs w:val="24"/>
                <w:highlight w:val="none"/>
                <w:lang w:bidi="ar"/>
              </w:rPr>
              <w:t>（允许±0.2mm）</w:t>
            </w:r>
            <w:r>
              <w:rPr>
                <w:rFonts w:hint="eastAsia" w:ascii="宋体" w:hAnsi="宋体" w:cs="宋体"/>
                <w:color w:val="auto"/>
                <w:kern w:val="0"/>
                <w:sz w:val="24"/>
                <w:szCs w:val="24"/>
                <w:highlight w:val="none"/>
                <w:lang w:bidi="ar"/>
              </w:rPr>
              <w:t>铝合金挤出成型并高温粉体烤漆,内嵌1845*25*厚度1.5mm</w:t>
            </w:r>
            <w:r>
              <w:rPr>
                <w:rFonts w:hint="eastAsia" w:ascii="宋体" w:hAnsi="宋体" w:cs="宋体"/>
                <w:color w:val="auto"/>
                <w:kern w:val="0"/>
                <w:sz w:val="24"/>
                <w:szCs w:val="24"/>
                <w:highlight w:val="none"/>
                <w:lang w:bidi="ar"/>
              </w:rPr>
              <w:t xml:space="preserve">（允许±0.2mm）PVC胶条，上下盖采用ABS塑胶射出成型,下部脚座尼龙质加耐磨耐压调整脚可以水平调整。                                                    </w:t>
            </w:r>
            <w:r>
              <w:rPr>
                <w:rFonts w:hint="eastAsia" w:ascii="宋体" w:hAnsi="宋体" w:cs="宋体"/>
                <w:color w:val="auto"/>
                <w:kern w:val="0"/>
                <w:sz w:val="24"/>
                <w:szCs w:val="24"/>
                <w:highlight w:val="none"/>
                <w:lang w:val="en-US" w:eastAsia="zh-CN" w:bidi="ar"/>
              </w:rPr>
              <w:t xml:space="preserve">   </w:t>
            </w:r>
            <w:r>
              <w:rPr>
                <w:rFonts w:hint="eastAsia" w:ascii="宋体" w:hAnsi="宋体" w:cs="宋体"/>
                <w:color w:val="auto"/>
                <w:kern w:val="0"/>
                <w:sz w:val="24"/>
                <w:szCs w:val="24"/>
                <w:highlight w:val="none"/>
                <w:lang w:bidi="ar"/>
              </w:rPr>
              <w:t xml:space="preserve">  4.床架尺寸：1925*968*40mm（允许±5mm），两头横杆尺寸925*10*30mm（允许±5mm），两侧钢管尺寸：1925*20*40mm（允许±5mm），中间钢管尺寸：925*20*40mm（允许±5mm），钢管焊接表面焊接抛光成型,烤粉体涂装全自动遂道式九道防锈处理，两次静电涂装，决无漏喷、太薄、流坠等现象，涂膜厚度在21MICORN以上,与床柱固定,安全又牢固.                                                   5.侧板尺寸1870*900*18mm（允许±5mm），基材采用国家标准E1级板，厚度≥18mm,基材采用颗粒板，面贴三聚氰胺纸，PVC直封边制作。                                                6.步梯尺寸：500*968*H1280mm（允许±5mm），材质：采用国家标准E1级板，厚度≥18mm,基材</w:t>
            </w:r>
            <w:r>
              <w:rPr>
                <w:rFonts w:hint="eastAsia" w:ascii="宋体" w:hAnsi="宋体" w:cs="宋体"/>
                <w:color w:val="auto"/>
                <w:kern w:val="0"/>
                <w:sz w:val="24"/>
                <w:szCs w:val="24"/>
                <w:highlight w:val="none"/>
                <w:lang w:bidi="ar"/>
              </w:rPr>
              <w:t>采用颗粒板</w:t>
            </w:r>
            <w:r>
              <w:rPr>
                <w:rFonts w:hint="eastAsia" w:ascii="宋体" w:hAnsi="宋体" w:cs="宋体"/>
                <w:color w:val="auto"/>
                <w:kern w:val="0"/>
                <w:sz w:val="24"/>
                <w:szCs w:val="24"/>
                <w:highlight w:val="none"/>
                <w:lang w:bidi="ar"/>
              </w:rPr>
              <w:t>，</w:t>
            </w:r>
            <w:r>
              <w:rPr>
                <w:rFonts w:hint="eastAsia" w:ascii="宋体" w:hAnsi="宋体" w:cs="宋体"/>
                <w:color w:val="auto"/>
                <w:kern w:val="0"/>
                <w:sz w:val="24"/>
                <w:szCs w:val="24"/>
                <w:highlight w:val="none"/>
                <w:lang w:bidi="ar"/>
              </w:rPr>
              <w:t>面贴三聚氰胺纸</w:t>
            </w:r>
            <w:r>
              <w:rPr>
                <w:rFonts w:hint="eastAsia" w:ascii="宋体" w:hAnsi="宋体" w:cs="宋体"/>
                <w:color w:val="auto"/>
                <w:kern w:val="0"/>
                <w:sz w:val="24"/>
                <w:szCs w:val="24"/>
                <w:highlight w:val="none"/>
                <w:lang w:bidi="ar"/>
              </w:rPr>
              <w:t>，PVC直封边制作。</w:t>
            </w:r>
            <w:r>
              <w:rPr>
                <w:rFonts w:hint="eastAsia" w:ascii="宋体" w:hAnsi="宋体" w:cs="宋体"/>
                <w:color w:val="auto"/>
                <w:kern w:val="0"/>
                <w:sz w:val="24"/>
                <w:szCs w:val="24"/>
                <w:highlight w:val="none"/>
                <w:lang w:bidi="ar"/>
              </w:rPr>
              <w:t>五金件采用液压铰链</w:t>
            </w:r>
            <w:r>
              <w:rPr>
                <w:rFonts w:hint="eastAsia" w:ascii="宋体" w:hAnsi="宋体" w:cs="宋体"/>
                <w:color w:val="auto"/>
                <w:kern w:val="0"/>
                <w:sz w:val="24"/>
                <w:szCs w:val="24"/>
                <w:highlight w:val="none"/>
                <w:lang w:bidi="ar"/>
              </w:rPr>
              <w:t>。                                                                                  7.桌子尺寸：1920*600*750mm</w:t>
            </w:r>
            <w:r>
              <w:rPr>
                <w:rFonts w:hint="eastAsia" w:ascii="宋体" w:hAnsi="宋体" w:cs="宋体"/>
                <w:color w:val="auto"/>
                <w:kern w:val="0"/>
                <w:sz w:val="24"/>
                <w:szCs w:val="24"/>
                <w:highlight w:val="none"/>
                <w:lang w:bidi="ar"/>
              </w:rPr>
              <w:t>（允许±5mm）</w:t>
            </w:r>
            <w:r>
              <w:rPr>
                <w:rFonts w:hint="eastAsia" w:ascii="宋体" w:hAnsi="宋体" w:cs="宋体"/>
                <w:color w:val="auto"/>
                <w:kern w:val="0"/>
                <w:sz w:val="24"/>
                <w:szCs w:val="24"/>
                <w:highlight w:val="none"/>
                <w:lang w:bidi="ar"/>
              </w:rPr>
              <w:t>，材质：采用国家标准E1级板，厚度≥25mm,</w:t>
            </w:r>
            <w:r>
              <w:rPr>
                <w:rFonts w:hint="eastAsia" w:ascii="宋体" w:hAnsi="宋体" w:cs="宋体"/>
                <w:color w:val="auto"/>
                <w:kern w:val="0"/>
                <w:sz w:val="24"/>
                <w:szCs w:val="24"/>
                <w:highlight w:val="none"/>
                <w:lang w:bidi="ar"/>
              </w:rPr>
              <w:t>基材采用颗粒板</w:t>
            </w:r>
            <w:r>
              <w:rPr>
                <w:rFonts w:hint="eastAsia" w:ascii="宋体" w:hAnsi="宋体" w:cs="宋体"/>
                <w:color w:val="auto"/>
                <w:kern w:val="0"/>
                <w:sz w:val="24"/>
                <w:szCs w:val="24"/>
                <w:highlight w:val="none"/>
                <w:lang w:bidi="ar"/>
              </w:rPr>
              <w:t>，</w:t>
            </w:r>
            <w:r>
              <w:rPr>
                <w:rFonts w:hint="eastAsia" w:ascii="宋体" w:hAnsi="宋体" w:cs="宋体"/>
                <w:color w:val="auto"/>
                <w:kern w:val="0"/>
                <w:sz w:val="24"/>
                <w:szCs w:val="24"/>
                <w:highlight w:val="none"/>
                <w:lang w:bidi="ar"/>
              </w:rPr>
              <w:t>面贴三聚氰胺纸</w:t>
            </w:r>
            <w:r>
              <w:rPr>
                <w:rFonts w:hint="eastAsia" w:ascii="宋体" w:hAnsi="宋体" w:cs="宋体"/>
                <w:color w:val="auto"/>
                <w:kern w:val="0"/>
                <w:sz w:val="24"/>
                <w:szCs w:val="24"/>
                <w:highlight w:val="none"/>
                <w:lang w:bidi="ar"/>
              </w:rPr>
              <w:t>，PVC直封边制作。钢架尺寸1880*580*725mm，钢架采用满焊焊接，钢架表面涂装经高温粉体烤漆，长时间使用也不会产生表面漆剥落现象。桌面含厚度1.6mm的透明PVC桌垫。桌子底下含折叠抽屉，抽屉折叠部件采用尼龙材质，抽屉底兜采用PP材质，收纳尺寸：470*370*80mm（允许±10mm），打开尺寸470*275*135mm（允许±10mm），抽屉内无物品时自动折叠。                                                                        8.上围板尺寸1860*410*18mm</w:t>
            </w:r>
            <w:r>
              <w:rPr>
                <w:rFonts w:hint="eastAsia" w:ascii="宋体" w:hAnsi="宋体" w:cs="宋体"/>
                <w:color w:val="auto"/>
                <w:kern w:val="0"/>
                <w:sz w:val="24"/>
                <w:szCs w:val="24"/>
                <w:highlight w:val="none"/>
                <w:lang w:bidi="ar"/>
              </w:rPr>
              <w:t>（允许±5mm）</w:t>
            </w:r>
            <w:r>
              <w:rPr>
                <w:rFonts w:hint="eastAsia" w:ascii="宋体" w:hAnsi="宋体" w:cs="宋体"/>
                <w:color w:val="auto"/>
                <w:kern w:val="0"/>
                <w:sz w:val="24"/>
                <w:szCs w:val="24"/>
                <w:highlight w:val="none"/>
                <w:lang w:bidi="ar"/>
              </w:rPr>
              <w:t>，分别标有EF字母亚克力三角形指示牌，尺寸：125*115mm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±2mm）。                                                                 9.床铺板尺寸：1925*967*18mm</w:t>
            </w:r>
            <w:r>
              <w:rPr>
                <w:rFonts w:hint="eastAsia" w:ascii="宋体" w:hAnsi="宋体" w:cs="宋体"/>
                <w:color w:val="auto"/>
                <w:kern w:val="0"/>
                <w:sz w:val="24"/>
                <w:szCs w:val="24"/>
                <w:highlight w:val="none"/>
                <w:lang w:bidi="ar"/>
              </w:rPr>
              <w:t>（允许±5mm）</w:t>
            </w:r>
            <w:r>
              <w:rPr>
                <w:rFonts w:hint="eastAsia" w:ascii="宋体" w:hAnsi="宋体" w:cs="宋体"/>
                <w:color w:val="auto"/>
                <w:kern w:val="0"/>
                <w:sz w:val="24"/>
                <w:szCs w:val="24"/>
                <w:highlight w:val="none"/>
                <w:lang w:bidi="ar"/>
              </w:rPr>
              <w:t xml:space="preserve">，基材采用18mm厚颗粒板， 含2个蚊帐架。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153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套</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67456" behindDoc="0" locked="0" layoutInCell="1" allowOverlap="1">
                  <wp:simplePos x="0" y="0"/>
                  <wp:positionH relativeFrom="column">
                    <wp:posOffset>44450</wp:posOffset>
                  </wp:positionH>
                  <wp:positionV relativeFrom="paragraph">
                    <wp:posOffset>526415</wp:posOffset>
                  </wp:positionV>
                  <wp:extent cx="737870" cy="231140"/>
                  <wp:effectExtent l="0" t="0" r="8890" b="12700"/>
                  <wp:wrapNone/>
                  <wp:docPr id="27" name="图片_25"/>
                  <wp:cNvGraphicFramePr/>
                  <a:graphic xmlns:a="http://schemas.openxmlformats.org/drawingml/2006/main">
                    <a:graphicData uri="http://schemas.openxmlformats.org/drawingml/2006/picture">
                      <pic:pic xmlns:pic="http://schemas.openxmlformats.org/drawingml/2006/picture">
                        <pic:nvPicPr>
                          <pic:cNvPr id="27" name="图片_25"/>
                          <pic:cNvPicPr/>
                        </pic:nvPicPr>
                        <pic:blipFill>
                          <a:blip r:embed="rId15"/>
                          <a:stretch>
                            <a:fillRect/>
                          </a:stretch>
                        </pic:blipFill>
                        <pic:spPr>
                          <a:xfrm>
                            <a:off x="0" y="0"/>
                            <a:ext cx="737870" cy="231140"/>
                          </a:xfrm>
                          <a:prstGeom prst="rect">
                            <a:avLst/>
                          </a:prstGeom>
                          <a:noFill/>
                          <a:ln>
                            <a:noFill/>
                          </a:ln>
                        </pic:spPr>
                      </pic:pic>
                    </a:graphicData>
                  </a:graphic>
                </wp:anchor>
              </w:drawing>
            </w:r>
          </w:p>
        </w:tc>
        <w:tc>
          <w:tcPr>
            <w:tcW w:w="69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5"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3</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学生椅</w:t>
            </w:r>
          </w:p>
        </w:tc>
        <w:tc>
          <w:tcPr>
            <w:tcW w:w="9863" w:type="dxa"/>
            <w:shd w:val="clear" w:color="auto" w:fill="auto"/>
            <w:vAlign w:val="center"/>
          </w:tcPr>
          <w:p>
            <w:pPr>
              <w:widowControl/>
              <w:jc w:val="left"/>
              <w:textAlignment w:val="center"/>
              <w:rPr>
                <w:rStyle w:val="18"/>
                <w:rFonts w:hint="default" w:ascii="宋体" w:hAnsi="宋体" w:eastAsia="宋体" w:cs="宋体"/>
                <w:color w:val="auto"/>
                <w:sz w:val="24"/>
                <w:szCs w:val="24"/>
                <w:highlight w:val="none"/>
                <w:lang w:bidi="ar"/>
              </w:rPr>
            </w:pPr>
            <w:r>
              <w:rPr>
                <w:rFonts w:hint="eastAsia" w:ascii="宋体" w:hAnsi="宋体" w:cs="宋体"/>
                <w:color w:val="auto"/>
                <w:kern w:val="0"/>
                <w:sz w:val="24"/>
                <w:szCs w:val="24"/>
                <w:highlight w:val="none"/>
                <w:lang w:bidi="ar"/>
              </w:rPr>
              <w:t>1.座高：450mm±10mm                                                              椅身：（1.）材质：采用PP耐冲击塑料一体注塑成型。</w:t>
            </w:r>
          </w:p>
          <w:p>
            <w:pPr>
              <w:widowControl/>
              <w:jc w:val="left"/>
              <w:textAlignment w:val="center"/>
              <w:rPr>
                <w:rStyle w:val="18"/>
                <w:rFonts w:hint="default" w:ascii="宋体" w:hAnsi="宋体" w:eastAsia="宋体" w:cs="宋体"/>
                <w:color w:val="auto"/>
                <w:sz w:val="24"/>
                <w:szCs w:val="24"/>
                <w:highlight w:val="none"/>
                <w:lang w:bidi="ar"/>
              </w:rPr>
            </w:pPr>
            <w:r>
              <w:rPr>
                <w:rStyle w:val="18"/>
                <w:rFonts w:hint="default" w:ascii="宋体" w:hAnsi="宋体" w:eastAsia="宋体" w:cs="宋体"/>
                <w:color w:val="auto"/>
                <w:sz w:val="24"/>
                <w:szCs w:val="24"/>
                <w:highlight w:val="none"/>
                <w:lang w:bidi="ar"/>
              </w:rPr>
              <w:t xml:space="preserve">     （2.）尺寸：W410*D420*H400mm</w:t>
            </w:r>
            <w:r>
              <w:rPr>
                <w:rFonts w:hint="eastAsia" w:ascii="宋体" w:hAnsi="宋体" w:cs="宋体"/>
                <w:color w:val="auto"/>
                <w:kern w:val="0"/>
                <w:sz w:val="24"/>
                <w:szCs w:val="24"/>
                <w:highlight w:val="none"/>
                <w:lang w:bidi="ar"/>
              </w:rPr>
              <w:t>（允许</w:t>
            </w:r>
            <w:r>
              <w:rPr>
                <w:rStyle w:val="18"/>
                <w:rFonts w:hint="default" w:ascii="宋体" w:hAnsi="宋体" w:eastAsia="宋体" w:cs="宋体"/>
                <w:color w:val="auto"/>
                <w:sz w:val="24"/>
                <w:szCs w:val="24"/>
                <w:highlight w:val="none"/>
                <w:lang w:bidi="ar"/>
              </w:rPr>
              <w:t>±10mm）。</w:t>
            </w:r>
          </w:p>
          <w:p>
            <w:pPr>
              <w:widowControl/>
              <w:jc w:val="left"/>
              <w:textAlignment w:val="center"/>
              <w:rPr>
                <w:rStyle w:val="18"/>
                <w:rFonts w:hint="default" w:ascii="宋体" w:hAnsi="宋体" w:eastAsia="宋体" w:cs="宋体"/>
                <w:color w:val="auto"/>
                <w:sz w:val="24"/>
                <w:szCs w:val="24"/>
                <w:highlight w:val="none"/>
                <w:lang w:bidi="ar"/>
              </w:rPr>
            </w:pPr>
            <w:r>
              <w:rPr>
                <w:rStyle w:val="18"/>
                <w:rFonts w:hint="default" w:ascii="宋体" w:hAnsi="宋体" w:eastAsia="宋体" w:cs="宋体"/>
                <w:color w:val="auto"/>
                <w:sz w:val="24"/>
                <w:szCs w:val="24"/>
                <w:highlight w:val="none"/>
                <w:lang w:bidi="ar"/>
              </w:rP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                                                                    2.脚架：（1.）材质及形状：圆管。采用满焊焊接。</w:t>
            </w:r>
          </w:p>
          <w:p>
            <w:pPr>
              <w:widowControl/>
              <w:jc w:val="left"/>
              <w:textAlignment w:val="center"/>
              <w:rPr>
                <w:rStyle w:val="18"/>
                <w:rFonts w:hint="default" w:ascii="宋体" w:hAnsi="宋体" w:eastAsia="宋体" w:cs="宋体"/>
                <w:color w:val="auto"/>
                <w:sz w:val="24"/>
                <w:szCs w:val="24"/>
                <w:highlight w:val="none"/>
                <w:lang w:bidi="ar"/>
              </w:rPr>
            </w:pPr>
            <w:r>
              <w:rPr>
                <w:rStyle w:val="18"/>
                <w:rFonts w:hint="default" w:ascii="宋体" w:hAnsi="宋体" w:eastAsia="宋体" w:cs="宋体"/>
                <w:color w:val="auto"/>
                <w:sz w:val="24"/>
                <w:szCs w:val="24"/>
                <w:highlight w:val="none"/>
                <w:lang w:bidi="ar"/>
              </w:rPr>
              <w:t xml:space="preserve">        （2.）尺寸：直径22*厚1.5mm。</w:t>
            </w:r>
          </w:p>
          <w:p>
            <w:pPr>
              <w:widowControl/>
              <w:jc w:val="left"/>
              <w:textAlignment w:val="center"/>
              <w:rPr>
                <w:rStyle w:val="18"/>
                <w:rFonts w:hint="default" w:ascii="宋体" w:hAnsi="宋体" w:eastAsia="宋体" w:cs="宋体"/>
                <w:color w:val="auto"/>
                <w:sz w:val="24"/>
                <w:szCs w:val="24"/>
                <w:highlight w:val="none"/>
                <w:lang w:bidi="ar"/>
              </w:rPr>
            </w:pPr>
            <w:r>
              <w:rPr>
                <w:rStyle w:val="18"/>
                <w:rFonts w:hint="default" w:ascii="宋体" w:hAnsi="宋体" w:eastAsia="宋体" w:cs="宋体"/>
                <w:color w:val="auto"/>
                <w:sz w:val="24"/>
                <w:szCs w:val="24"/>
                <w:highlight w:val="none"/>
                <w:lang w:bidi="ar"/>
              </w:rPr>
              <w:t xml:space="preserve">        （3.）表面涂装：钢管架焊接完成后，经高温粉体烤漆。</w:t>
            </w:r>
          </w:p>
          <w:p>
            <w:pPr>
              <w:widowControl/>
              <w:jc w:val="left"/>
              <w:textAlignment w:val="center"/>
              <w:rPr>
                <w:rStyle w:val="18"/>
                <w:rFonts w:hint="default" w:ascii="宋体" w:hAnsi="宋体" w:eastAsia="宋体" w:cs="宋体"/>
                <w:color w:val="auto"/>
                <w:sz w:val="24"/>
                <w:szCs w:val="24"/>
                <w:highlight w:val="none"/>
                <w:lang w:bidi="ar"/>
              </w:rPr>
            </w:pPr>
            <w:r>
              <w:rPr>
                <w:rStyle w:val="18"/>
                <w:rFonts w:hint="default" w:ascii="宋体" w:hAnsi="宋体" w:eastAsia="宋体" w:cs="宋体"/>
                <w:color w:val="auto"/>
                <w:sz w:val="24"/>
                <w:szCs w:val="24"/>
                <w:highlight w:val="none"/>
                <w:lang w:bidi="ar"/>
              </w:rPr>
              <w:t>3.脚垫：(1.)材质：采用PA塑料。</w:t>
            </w:r>
          </w:p>
          <w:p>
            <w:pPr>
              <w:widowControl/>
              <w:jc w:val="left"/>
              <w:textAlignment w:val="center"/>
              <w:rPr>
                <w:rFonts w:ascii="宋体" w:hAnsi="宋体" w:cs="宋体"/>
                <w:color w:val="auto"/>
                <w:sz w:val="24"/>
                <w:szCs w:val="24"/>
                <w:highlight w:val="none"/>
              </w:rPr>
            </w:pPr>
            <w:r>
              <w:rPr>
                <w:rStyle w:val="18"/>
                <w:rFonts w:hint="default" w:ascii="宋体" w:hAnsi="宋体" w:eastAsia="宋体" w:cs="宋体"/>
                <w:color w:val="auto"/>
                <w:sz w:val="24"/>
                <w:szCs w:val="24"/>
                <w:highlight w:val="none"/>
                <w:lang w:bidi="ar"/>
              </w:rPr>
              <w:t xml:space="preserve">        （2.）尺寸：上管直径22mm*下管直径19*高60mm</w:t>
            </w:r>
            <w:r>
              <w:rPr>
                <w:rFonts w:hint="eastAsia" w:ascii="宋体" w:hAnsi="宋体" w:cs="宋体"/>
                <w:color w:val="auto"/>
                <w:kern w:val="0"/>
                <w:sz w:val="24"/>
                <w:szCs w:val="24"/>
                <w:highlight w:val="none"/>
                <w:lang w:bidi="ar"/>
              </w:rPr>
              <w:t>（允许</w:t>
            </w:r>
            <w:r>
              <w:rPr>
                <w:rStyle w:val="18"/>
                <w:rFonts w:hint="default" w:ascii="宋体" w:hAnsi="宋体" w:eastAsia="宋体" w:cs="宋体"/>
                <w:color w:val="auto"/>
                <w:sz w:val="24"/>
                <w:szCs w:val="24"/>
                <w:highlight w:val="none"/>
                <w:lang w:bidi="ar"/>
              </w:rPr>
              <w:t>±1mm</w:t>
            </w:r>
            <w:r>
              <w:rPr>
                <w:rStyle w:val="18"/>
                <w:rFonts w:hint="eastAsia" w:ascii="宋体" w:hAnsi="宋体" w:cs="宋体"/>
                <w:color w:val="auto"/>
                <w:sz w:val="24"/>
                <w:szCs w:val="24"/>
                <w:highlight w:val="none"/>
                <w:lang w:eastAsia="zh-CN" w:bidi="ar"/>
              </w:rPr>
              <w:t>）</w:t>
            </w:r>
            <w:r>
              <w:rPr>
                <w:rStyle w:val="18"/>
                <w:rFonts w:hint="default" w:ascii="宋体" w:hAnsi="宋体" w:eastAsia="宋体" w:cs="宋体"/>
                <w:color w:val="auto"/>
                <w:sz w:val="24"/>
                <w:szCs w:val="24"/>
                <w:highlight w:val="none"/>
                <w:lang w:bidi="ar"/>
              </w:rPr>
              <w:t>。</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918</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张</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59264" behindDoc="0" locked="0" layoutInCell="1" allowOverlap="1">
                  <wp:simplePos x="0" y="0"/>
                  <wp:positionH relativeFrom="column">
                    <wp:posOffset>48895</wp:posOffset>
                  </wp:positionH>
                  <wp:positionV relativeFrom="paragraph">
                    <wp:posOffset>-60960</wp:posOffset>
                  </wp:positionV>
                  <wp:extent cx="809625" cy="865505"/>
                  <wp:effectExtent l="0" t="0" r="13335" b="3175"/>
                  <wp:wrapNone/>
                  <wp:docPr id="28" name="图片_57"/>
                  <wp:cNvGraphicFramePr/>
                  <a:graphic xmlns:a="http://schemas.openxmlformats.org/drawingml/2006/main">
                    <a:graphicData uri="http://schemas.openxmlformats.org/drawingml/2006/picture">
                      <pic:pic xmlns:pic="http://schemas.openxmlformats.org/drawingml/2006/picture">
                        <pic:nvPicPr>
                          <pic:cNvPr id="28" name="图片_57"/>
                          <pic:cNvPicPr/>
                        </pic:nvPicPr>
                        <pic:blipFill>
                          <a:blip r:embed="rId16"/>
                          <a:stretch>
                            <a:fillRect/>
                          </a:stretch>
                        </pic:blipFill>
                        <pic:spPr>
                          <a:xfrm>
                            <a:off x="0" y="0"/>
                            <a:ext cx="809625" cy="865505"/>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76"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4</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鞋柜</w:t>
            </w:r>
          </w:p>
        </w:tc>
        <w:tc>
          <w:tcPr>
            <w:tcW w:w="9863"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1.尺寸：W1200*D450*H450mm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2.材质：颗粒板+软包；</w:t>
            </w:r>
          </w:p>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3.工艺：采用国家标准E1级板，厚度≥18mm,基材采用</w:t>
            </w:r>
            <w:r>
              <w:rPr>
                <w:rFonts w:hint="eastAsia" w:ascii="宋体" w:hAnsi="宋体" w:cs="宋体"/>
                <w:color w:val="auto"/>
                <w:kern w:val="0"/>
                <w:sz w:val="24"/>
                <w:szCs w:val="24"/>
                <w:highlight w:val="none"/>
                <w:lang w:bidi="ar"/>
              </w:rPr>
              <w:t>颗粒板，面贴三聚氰胺纸</w:t>
            </w:r>
            <w:r>
              <w:rPr>
                <w:rFonts w:hint="eastAsia" w:ascii="宋体" w:hAnsi="宋体" w:cs="宋体"/>
                <w:color w:val="auto"/>
                <w:kern w:val="0"/>
                <w:sz w:val="24"/>
                <w:szCs w:val="24"/>
                <w:highlight w:val="none"/>
                <w:lang w:bidi="ar"/>
              </w:rPr>
              <w:t>，PVC直封边制作。柜门采用18mm实木多层板，每个柜门上设有直径≥25mm的透气孔，也可用于开门作用。</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153</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张</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68480" behindDoc="0" locked="0" layoutInCell="1" allowOverlap="1">
                  <wp:simplePos x="0" y="0"/>
                  <wp:positionH relativeFrom="column">
                    <wp:posOffset>32385</wp:posOffset>
                  </wp:positionH>
                  <wp:positionV relativeFrom="paragraph">
                    <wp:posOffset>241935</wp:posOffset>
                  </wp:positionV>
                  <wp:extent cx="805815" cy="415290"/>
                  <wp:effectExtent l="0" t="0" r="1905" b="11430"/>
                  <wp:wrapNone/>
                  <wp:docPr id="29" name="图片_6"/>
                  <wp:cNvGraphicFramePr/>
                  <a:graphic xmlns:a="http://schemas.openxmlformats.org/drawingml/2006/main">
                    <a:graphicData uri="http://schemas.openxmlformats.org/drawingml/2006/picture">
                      <pic:pic xmlns:pic="http://schemas.openxmlformats.org/drawingml/2006/picture">
                        <pic:nvPicPr>
                          <pic:cNvPr id="29" name="图片_6"/>
                          <pic:cNvPicPr/>
                        </pic:nvPicPr>
                        <pic:blipFill>
                          <a:blip r:embed="rId17"/>
                          <a:stretch>
                            <a:fillRect/>
                          </a:stretch>
                        </pic:blipFill>
                        <pic:spPr>
                          <a:xfrm>
                            <a:off x="0" y="0"/>
                            <a:ext cx="805815" cy="415290"/>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76"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5</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更衣柜</w:t>
            </w:r>
          </w:p>
        </w:tc>
        <w:tc>
          <w:tcPr>
            <w:tcW w:w="9863"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1.尺寸：830*600*2000mm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2.材质：颗粒板；</w:t>
            </w:r>
          </w:p>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3.工艺：采用国家标准E1级板，厚度≥18mm,基材采用</w:t>
            </w:r>
            <w:r>
              <w:rPr>
                <w:rFonts w:hint="eastAsia" w:ascii="宋体" w:hAnsi="宋体" w:cs="宋体"/>
                <w:color w:val="auto"/>
                <w:kern w:val="0"/>
                <w:sz w:val="24"/>
                <w:szCs w:val="24"/>
                <w:highlight w:val="none"/>
                <w:lang w:bidi="ar"/>
              </w:rPr>
              <w:t>颗粒板，面贴三聚氰胺纸</w:t>
            </w:r>
            <w:r>
              <w:rPr>
                <w:rFonts w:hint="eastAsia" w:ascii="宋体" w:hAnsi="宋体" w:cs="宋体"/>
                <w:color w:val="auto"/>
                <w:kern w:val="0"/>
                <w:sz w:val="24"/>
                <w:szCs w:val="24"/>
                <w:highlight w:val="none"/>
                <w:lang w:bidi="ar"/>
              </w:rPr>
              <w:t>，PVC直封边制作。中间有中立板隔开成双人位，上下层板为活动层板。每个门板尺寸950*390mm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459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组</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69504" behindDoc="0" locked="0" layoutInCell="1" allowOverlap="1">
                  <wp:simplePos x="0" y="0"/>
                  <wp:positionH relativeFrom="column">
                    <wp:posOffset>267970</wp:posOffset>
                  </wp:positionH>
                  <wp:positionV relativeFrom="paragraph">
                    <wp:posOffset>185420</wp:posOffset>
                  </wp:positionV>
                  <wp:extent cx="435610" cy="724535"/>
                  <wp:effectExtent l="0" t="0" r="6350" b="6985"/>
                  <wp:wrapNone/>
                  <wp:docPr id="30" name="图片_2"/>
                  <wp:cNvGraphicFramePr/>
                  <a:graphic xmlns:a="http://schemas.openxmlformats.org/drawingml/2006/main">
                    <a:graphicData uri="http://schemas.openxmlformats.org/drawingml/2006/picture">
                      <pic:pic xmlns:pic="http://schemas.openxmlformats.org/drawingml/2006/picture">
                        <pic:nvPicPr>
                          <pic:cNvPr id="30" name="图片_2"/>
                          <pic:cNvPicPr/>
                        </pic:nvPicPr>
                        <pic:blipFill>
                          <a:blip r:embed="rId18"/>
                          <a:stretch>
                            <a:fillRect/>
                          </a:stretch>
                        </pic:blipFill>
                        <pic:spPr>
                          <a:xfrm>
                            <a:off x="0" y="0"/>
                            <a:ext cx="435610" cy="724535"/>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64"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6</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毛巾浴巾架</w:t>
            </w:r>
          </w:p>
        </w:tc>
        <w:tc>
          <w:tcPr>
            <w:tcW w:w="9863" w:type="dxa"/>
            <w:shd w:val="clear" w:color="auto" w:fill="auto"/>
            <w:vAlign w:val="center"/>
          </w:tcPr>
          <w:p>
            <w:pPr>
              <w:widowControl/>
              <w:numPr>
                <w:ilvl w:val="0"/>
                <w:numId w:val="2"/>
              </w:numPr>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尺寸500*170mm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numPr>
                <w:ilvl w:val="255"/>
                <w:numId w:val="0"/>
              </w:numPr>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2.材质：黑色太空铝，防生锈，耐腐蚀。</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459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个</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70528" behindDoc="0" locked="0" layoutInCell="1" allowOverlap="1">
                  <wp:simplePos x="0" y="0"/>
                  <wp:positionH relativeFrom="column">
                    <wp:posOffset>116840</wp:posOffset>
                  </wp:positionH>
                  <wp:positionV relativeFrom="paragraph">
                    <wp:posOffset>112395</wp:posOffset>
                  </wp:positionV>
                  <wp:extent cx="613410" cy="471170"/>
                  <wp:effectExtent l="0" t="0" r="11430" b="1270"/>
                  <wp:wrapNone/>
                  <wp:docPr id="31" name="图片_26"/>
                  <wp:cNvGraphicFramePr/>
                  <a:graphic xmlns:a="http://schemas.openxmlformats.org/drawingml/2006/main">
                    <a:graphicData uri="http://schemas.openxmlformats.org/drawingml/2006/picture">
                      <pic:pic xmlns:pic="http://schemas.openxmlformats.org/drawingml/2006/picture">
                        <pic:nvPicPr>
                          <pic:cNvPr id="31" name="图片_26"/>
                          <pic:cNvPicPr/>
                        </pic:nvPicPr>
                        <pic:blipFill>
                          <a:blip r:embed="rId19"/>
                          <a:stretch>
                            <a:fillRect/>
                          </a:stretch>
                        </pic:blipFill>
                        <pic:spPr>
                          <a:xfrm>
                            <a:off x="0" y="0"/>
                            <a:ext cx="613410" cy="471170"/>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82"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7</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卷帘</w:t>
            </w:r>
          </w:p>
        </w:tc>
        <w:tc>
          <w:tcPr>
            <w:tcW w:w="9863" w:type="dxa"/>
            <w:shd w:val="clear" w:color="auto" w:fill="auto"/>
            <w:vAlign w:val="center"/>
          </w:tcPr>
          <w:p>
            <w:pPr>
              <w:widowControl/>
              <w:numPr>
                <w:ilvl w:val="0"/>
                <w:numId w:val="3"/>
              </w:numPr>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尺寸：H2200*1200mm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numPr>
                <w:ilvl w:val="255"/>
                <w:numId w:val="0"/>
              </w:numPr>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2.材质：柔纱窗帘，含轨道。</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153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个</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71552" behindDoc="0" locked="0" layoutInCell="1" allowOverlap="1">
                  <wp:simplePos x="0" y="0"/>
                  <wp:positionH relativeFrom="column">
                    <wp:posOffset>53975</wp:posOffset>
                  </wp:positionH>
                  <wp:positionV relativeFrom="paragraph">
                    <wp:posOffset>166370</wp:posOffset>
                  </wp:positionV>
                  <wp:extent cx="789940" cy="479425"/>
                  <wp:effectExtent l="0" t="0" r="2540" b="8255"/>
                  <wp:wrapNone/>
                  <wp:docPr id="32" name="图片_28"/>
                  <wp:cNvGraphicFramePr/>
                  <a:graphic xmlns:a="http://schemas.openxmlformats.org/drawingml/2006/main">
                    <a:graphicData uri="http://schemas.openxmlformats.org/drawingml/2006/picture">
                      <pic:pic xmlns:pic="http://schemas.openxmlformats.org/drawingml/2006/picture">
                        <pic:nvPicPr>
                          <pic:cNvPr id="32" name="图片_28"/>
                          <pic:cNvPicPr/>
                        </pic:nvPicPr>
                        <pic:blipFill>
                          <a:blip r:embed="rId20"/>
                          <a:stretch>
                            <a:fillRect/>
                          </a:stretch>
                        </pic:blipFill>
                        <pic:spPr>
                          <a:xfrm>
                            <a:off x="0" y="0"/>
                            <a:ext cx="789940" cy="479425"/>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5"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8</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卫浴镜</w:t>
            </w:r>
          </w:p>
        </w:tc>
        <w:tc>
          <w:tcPr>
            <w:tcW w:w="9863"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1.尺寸：1300*H800mm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2.材质：SQ级浮冰银镜，防爆镜片，边缘光滑细腻，耐腐蚀。</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153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张</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72576" behindDoc="0" locked="0" layoutInCell="1" allowOverlap="1">
                  <wp:simplePos x="0" y="0"/>
                  <wp:positionH relativeFrom="column">
                    <wp:posOffset>36830</wp:posOffset>
                  </wp:positionH>
                  <wp:positionV relativeFrom="paragraph">
                    <wp:posOffset>225425</wp:posOffset>
                  </wp:positionV>
                  <wp:extent cx="895350" cy="433705"/>
                  <wp:effectExtent l="0" t="0" r="3810" b="8255"/>
                  <wp:wrapNone/>
                  <wp:docPr id="33" name="图片_3"/>
                  <wp:cNvGraphicFramePr/>
                  <a:graphic xmlns:a="http://schemas.openxmlformats.org/drawingml/2006/main">
                    <a:graphicData uri="http://schemas.openxmlformats.org/drawingml/2006/picture">
                      <pic:pic xmlns:pic="http://schemas.openxmlformats.org/drawingml/2006/picture">
                        <pic:nvPicPr>
                          <pic:cNvPr id="33" name="图片_3"/>
                          <pic:cNvPicPr/>
                        </pic:nvPicPr>
                        <pic:blipFill>
                          <a:blip r:embed="rId21"/>
                          <a:stretch>
                            <a:fillRect/>
                          </a:stretch>
                        </pic:blipFill>
                        <pic:spPr>
                          <a:xfrm>
                            <a:off x="0" y="0"/>
                            <a:ext cx="895350" cy="433705"/>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5"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9</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晾衣架</w:t>
            </w:r>
          </w:p>
        </w:tc>
        <w:tc>
          <w:tcPr>
            <w:tcW w:w="9863" w:type="dxa"/>
            <w:shd w:val="clear" w:color="auto" w:fill="auto"/>
            <w:vAlign w:val="center"/>
          </w:tcPr>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1.尺寸：直径25*1500mm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±5mm），底座厚度2mm，吊座高度500mm，不锈钢材质，表面经高温分体烤漆，承重可达300斤。</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306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条</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73600" behindDoc="0" locked="0" layoutInCell="1" allowOverlap="1">
                  <wp:simplePos x="0" y="0"/>
                  <wp:positionH relativeFrom="column">
                    <wp:posOffset>73025</wp:posOffset>
                  </wp:positionH>
                  <wp:positionV relativeFrom="paragraph">
                    <wp:posOffset>320675</wp:posOffset>
                  </wp:positionV>
                  <wp:extent cx="752475" cy="170815"/>
                  <wp:effectExtent l="0" t="0" r="9525" b="12065"/>
                  <wp:wrapNone/>
                  <wp:docPr id="34" name="图片_27"/>
                  <wp:cNvGraphicFramePr/>
                  <a:graphic xmlns:a="http://schemas.openxmlformats.org/drawingml/2006/main">
                    <a:graphicData uri="http://schemas.openxmlformats.org/drawingml/2006/picture">
                      <pic:pic xmlns:pic="http://schemas.openxmlformats.org/drawingml/2006/picture">
                        <pic:nvPicPr>
                          <pic:cNvPr id="34" name="图片_27"/>
                          <pic:cNvPicPr/>
                        </pic:nvPicPr>
                        <pic:blipFill>
                          <a:blip r:embed="rId22"/>
                          <a:stretch>
                            <a:fillRect/>
                          </a:stretch>
                        </pic:blipFill>
                        <pic:spPr>
                          <a:xfrm>
                            <a:off x="0" y="0"/>
                            <a:ext cx="752475" cy="170815"/>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37"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10</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清洁柜</w:t>
            </w:r>
          </w:p>
        </w:tc>
        <w:tc>
          <w:tcPr>
            <w:tcW w:w="9863"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1.尺寸：330*600*2000mm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jc w:val="left"/>
              <w:textAlignment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lang w:bidi="ar"/>
              </w:rPr>
              <w:t>2.材质：抗倍特板；</w:t>
            </w:r>
          </w:p>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rPr>
              <w:t>3.工艺：材质采用抗倍特板，厚度12mm。耐80度以上高温。防水：浸水24小时后的膨胀指数不多于0.1mm，面板四周采CNC修边，四周倒角，圆润光滑无任何毛边。内部设有可移动挂钩，用于悬挂拖把等清洁工具。</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153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张</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74624" behindDoc="0" locked="0" layoutInCell="1" allowOverlap="1">
                  <wp:simplePos x="0" y="0"/>
                  <wp:positionH relativeFrom="column">
                    <wp:posOffset>153035</wp:posOffset>
                  </wp:positionH>
                  <wp:positionV relativeFrom="paragraph">
                    <wp:posOffset>42545</wp:posOffset>
                  </wp:positionV>
                  <wp:extent cx="504190" cy="974090"/>
                  <wp:effectExtent l="0" t="0" r="13970" b="1270"/>
                  <wp:wrapNone/>
                  <wp:docPr id="35" name="图片_13"/>
                  <wp:cNvGraphicFramePr/>
                  <a:graphic xmlns:a="http://schemas.openxmlformats.org/drawingml/2006/main">
                    <a:graphicData uri="http://schemas.openxmlformats.org/drawingml/2006/picture">
                      <pic:pic xmlns:pic="http://schemas.openxmlformats.org/drawingml/2006/picture">
                        <pic:nvPicPr>
                          <pic:cNvPr id="35" name="图片_13"/>
                          <pic:cNvPicPr/>
                        </pic:nvPicPr>
                        <pic:blipFill>
                          <a:blip r:embed="rId23"/>
                          <a:stretch>
                            <a:fillRect/>
                          </a:stretch>
                        </pic:blipFill>
                        <pic:spPr>
                          <a:xfrm>
                            <a:off x="0" y="0"/>
                            <a:ext cx="504190" cy="974090"/>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16"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11</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洗手池玻璃移门</w:t>
            </w:r>
          </w:p>
        </w:tc>
        <w:tc>
          <w:tcPr>
            <w:tcW w:w="9863" w:type="dxa"/>
            <w:shd w:val="clear" w:color="auto" w:fill="auto"/>
            <w:vAlign w:val="center"/>
          </w:tcPr>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1.尺寸1450*600mm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±10mm），2.材质：</w:t>
            </w:r>
            <w:r>
              <w:rPr>
                <w:rFonts w:hint="eastAsia" w:ascii="宋体" w:hAnsi="宋体" w:cs="宋体"/>
                <w:color w:val="auto"/>
                <w:kern w:val="0"/>
                <w:sz w:val="24"/>
                <w:szCs w:val="24"/>
                <w:highlight w:val="none"/>
                <w:lang w:bidi="ar"/>
              </w:rPr>
              <w:t>钢化玻璃移门</w:t>
            </w:r>
            <w:r>
              <w:rPr>
                <w:rFonts w:hint="eastAsia" w:ascii="宋体" w:hAnsi="宋体" w:cs="宋体"/>
                <w:color w:val="auto"/>
                <w:kern w:val="0"/>
                <w:sz w:val="24"/>
                <w:szCs w:val="24"/>
                <w:highlight w:val="none"/>
                <w:lang w:bidi="ar"/>
              </w:rPr>
              <w:t>，玻璃厚度8mm，外包铝合金。玻璃移门左右两侧带防撞皮条。</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153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对</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75648" behindDoc="0" locked="0" layoutInCell="1" allowOverlap="1">
                  <wp:simplePos x="0" y="0"/>
                  <wp:positionH relativeFrom="column">
                    <wp:posOffset>-32385</wp:posOffset>
                  </wp:positionH>
                  <wp:positionV relativeFrom="paragraph">
                    <wp:posOffset>224155</wp:posOffset>
                  </wp:positionV>
                  <wp:extent cx="891540" cy="627380"/>
                  <wp:effectExtent l="0" t="0" r="7620" b="12700"/>
                  <wp:wrapNone/>
                  <wp:docPr id="36" name="图片_7"/>
                  <wp:cNvGraphicFramePr/>
                  <a:graphic xmlns:a="http://schemas.openxmlformats.org/drawingml/2006/main">
                    <a:graphicData uri="http://schemas.openxmlformats.org/drawingml/2006/picture">
                      <pic:pic xmlns:pic="http://schemas.openxmlformats.org/drawingml/2006/picture">
                        <pic:nvPicPr>
                          <pic:cNvPr id="36" name="图片_7"/>
                          <pic:cNvPicPr/>
                        </pic:nvPicPr>
                        <pic:blipFill>
                          <a:blip r:embed="rId24"/>
                          <a:stretch>
                            <a:fillRect/>
                          </a:stretch>
                        </pic:blipFill>
                        <pic:spPr>
                          <a:xfrm>
                            <a:off x="0" y="0"/>
                            <a:ext cx="891540" cy="627380"/>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1"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12</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下铺床位</w:t>
            </w:r>
          </w:p>
        </w:tc>
        <w:tc>
          <w:tcPr>
            <w:tcW w:w="9863"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1.尺寸：1860*364mm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2.材质：颗粒板+钢架                                                                                                   3.工艺：前拉条尺寸1860*124*18mm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±5mm），抽屉尺寸615*240*600mm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±5mm），材质：采用国家标准E1级板，厚度≥18mm,</w:t>
            </w:r>
            <w:r>
              <w:rPr>
                <w:rFonts w:hint="eastAsia" w:ascii="宋体" w:hAnsi="宋体" w:cs="宋体"/>
                <w:color w:val="auto"/>
                <w:kern w:val="0"/>
                <w:sz w:val="24"/>
                <w:szCs w:val="24"/>
                <w:highlight w:val="none"/>
                <w:lang w:bidi="ar"/>
              </w:rPr>
              <w:t>基材采用颗粒板</w:t>
            </w:r>
            <w:r>
              <w:rPr>
                <w:rFonts w:hint="eastAsia" w:ascii="宋体" w:hAnsi="宋体" w:cs="宋体"/>
                <w:color w:val="auto"/>
                <w:kern w:val="0"/>
                <w:sz w:val="24"/>
                <w:szCs w:val="24"/>
                <w:highlight w:val="none"/>
                <w:lang w:bidi="ar"/>
              </w:rPr>
              <w:t>，</w:t>
            </w:r>
            <w:r>
              <w:rPr>
                <w:rFonts w:hint="eastAsia" w:ascii="宋体" w:hAnsi="宋体" w:cs="宋体"/>
                <w:color w:val="auto"/>
                <w:kern w:val="0"/>
                <w:sz w:val="24"/>
                <w:szCs w:val="24"/>
                <w:highlight w:val="none"/>
                <w:lang w:bidi="ar"/>
              </w:rPr>
              <w:t>面贴三聚氰胺纸</w:t>
            </w:r>
            <w:r>
              <w:rPr>
                <w:rFonts w:hint="eastAsia" w:ascii="宋体" w:hAnsi="宋体" w:cs="宋体"/>
                <w:color w:val="auto"/>
                <w:kern w:val="0"/>
                <w:sz w:val="24"/>
                <w:szCs w:val="24"/>
                <w:highlight w:val="none"/>
                <w:lang w:bidi="ar"/>
              </w:rPr>
              <w:t xml:space="preserve">，PVC直封边制作。抽屉底部带轮子，轮子尺寸20*25*18mm（允许±5mm）。 </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sz w:val="24"/>
                <w:szCs w:val="24"/>
                <w:highlight w:val="none"/>
              </w:rPr>
              <w:t>4.</w:t>
            </w:r>
            <w:r>
              <w:rPr>
                <w:rFonts w:hint="eastAsia" w:ascii="宋体" w:hAnsi="宋体" w:cs="宋体"/>
                <w:color w:val="auto"/>
                <w:kern w:val="0"/>
                <w:sz w:val="24"/>
                <w:szCs w:val="24"/>
                <w:highlight w:val="none"/>
                <w:lang w:bidi="ar"/>
              </w:rPr>
              <w:t>下铺支撑钢架1925*968*30/40mm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±5mm），钢管焊接表面焊接抛光成型,烤粉体涂装全自动遂道式九道防锈处理，两次静电涂装，决无漏喷、太薄、</w:t>
            </w:r>
            <w:r>
              <w:rPr>
                <w:rFonts w:hint="eastAsia" w:ascii="宋体" w:hAnsi="宋体" w:cs="宋体"/>
                <w:color w:val="auto"/>
                <w:kern w:val="0"/>
                <w:sz w:val="24"/>
                <w:szCs w:val="24"/>
                <w:highlight w:val="none"/>
                <w:lang w:bidi="ar"/>
              </w:rPr>
              <w:t>流坠</w:t>
            </w:r>
            <w:r>
              <w:rPr>
                <w:rFonts w:hint="eastAsia" w:ascii="宋体" w:hAnsi="宋体" w:cs="宋体"/>
                <w:color w:val="auto"/>
                <w:kern w:val="0"/>
                <w:sz w:val="24"/>
                <w:szCs w:val="24"/>
                <w:highlight w:val="none"/>
                <w:lang w:bidi="ar"/>
              </w:rPr>
              <w:t>等现象，涂膜厚度在21MICORN以上,与床柱固定,安全又牢固。                                                                                                5.床铺板尺寸：1925*967*18mm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 xml:space="preserve">±5mm），基材采用18mm厚颗粒板。           </w:t>
            </w:r>
          </w:p>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 6.功能：便于后期学生住宿增加时，可替换上床下桌的下面桌子位置，达到增加住宿的需求。</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306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张</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76672" behindDoc="0" locked="0" layoutInCell="1" allowOverlap="1">
                  <wp:simplePos x="0" y="0"/>
                  <wp:positionH relativeFrom="column">
                    <wp:posOffset>-48895</wp:posOffset>
                  </wp:positionH>
                  <wp:positionV relativeFrom="paragraph">
                    <wp:posOffset>804545</wp:posOffset>
                  </wp:positionV>
                  <wp:extent cx="1130300" cy="520065"/>
                  <wp:effectExtent l="0" t="0" r="12700" b="13335"/>
                  <wp:wrapNone/>
                  <wp:docPr id="37" name="图片_23"/>
                  <wp:cNvGraphicFramePr/>
                  <a:graphic xmlns:a="http://schemas.openxmlformats.org/drawingml/2006/main">
                    <a:graphicData uri="http://schemas.openxmlformats.org/drawingml/2006/picture">
                      <pic:pic xmlns:pic="http://schemas.openxmlformats.org/drawingml/2006/picture">
                        <pic:nvPicPr>
                          <pic:cNvPr id="37" name="图片_23"/>
                          <pic:cNvPicPr/>
                        </pic:nvPicPr>
                        <pic:blipFill>
                          <a:blip r:embed="rId25"/>
                          <a:stretch>
                            <a:fillRect/>
                          </a:stretch>
                        </pic:blipFill>
                        <pic:spPr>
                          <a:xfrm>
                            <a:off x="0" y="0"/>
                            <a:ext cx="1130300" cy="520065"/>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16"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14</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三角浴</w:t>
            </w:r>
          </w:p>
        </w:tc>
        <w:tc>
          <w:tcPr>
            <w:tcW w:w="9863"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1.尺寸：210*H45mm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2.材质：304不锈钢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306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个</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77696" behindDoc="0" locked="0" layoutInCell="1" allowOverlap="1">
                  <wp:simplePos x="0" y="0"/>
                  <wp:positionH relativeFrom="column">
                    <wp:posOffset>8255</wp:posOffset>
                  </wp:positionH>
                  <wp:positionV relativeFrom="paragraph">
                    <wp:posOffset>90805</wp:posOffset>
                  </wp:positionV>
                  <wp:extent cx="751840" cy="803910"/>
                  <wp:effectExtent l="0" t="0" r="10160" b="3810"/>
                  <wp:wrapNone/>
                  <wp:docPr id="38" name="图片_11"/>
                  <wp:cNvGraphicFramePr/>
                  <a:graphic xmlns:a="http://schemas.openxmlformats.org/drawingml/2006/main">
                    <a:graphicData uri="http://schemas.openxmlformats.org/drawingml/2006/picture">
                      <pic:pic xmlns:pic="http://schemas.openxmlformats.org/drawingml/2006/picture">
                        <pic:nvPicPr>
                          <pic:cNvPr id="38" name="图片_11"/>
                          <pic:cNvPicPr/>
                        </pic:nvPicPr>
                        <pic:blipFill>
                          <a:blip r:embed="rId26"/>
                          <a:stretch>
                            <a:fillRect/>
                          </a:stretch>
                        </pic:blipFill>
                        <pic:spPr>
                          <a:xfrm>
                            <a:off x="0" y="0"/>
                            <a:ext cx="751840" cy="803910"/>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31"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15</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脸盆架</w:t>
            </w:r>
          </w:p>
        </w:tc>
        <w:tc>
          <w:tcPr>
            <w:tcW w:w="9863" w:type="dxa"/>
            <w:shd w:val="clear" w:color="auto" w:fill="auto"/>
            <w:vAlign w:val="center"/>
          </w:tcPr>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1.尺寸：尺寸：720*450mm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                                                  2.材质：201不锈钢脸盆架</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306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个</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78720" behindDoc="0" locked="0" layoutInCell="1" allowOverlap="1">
                  <wp:simplePos x="0" y="0"/>
                  <wp:positionH relativeFrom="column">
                    <wp:posOffset>-34290</wp:posOffset>
                  </wp:positionH>
                  <wp:positionV relativeFrom="paragraph">
                    <wp:posOffset>188595</wp:posOffset>
                  </wp:positionV>
                  <wp:extent cx="876300" cy="479425"/>
                  <wp:effectExtent l="0" t="0" r="7620" b="8255"/>
                  <wp:wrapNone/>
                  <wp:docPr id="39" name="图片_8"/>
                  <wp:cNvGraphicFramePr/>
                  <a:graphic xmlns:a="http://schemas.openxmlformats.org/drawingml/2006/main">
                    <a:graphicData uri="http://schemas.openxmlformats.org/drawingml/2006/picture">
                      <pic:pic xmlns:pic="http://schemas.openxmlformats.org/drawingml/2006/picture">
                        <pic:nvPicPr>
                          <pic:cNvPr id="39" name="图片_8"/>
                          <pic:cNvPicPr/>
                        </pic:nvPicPr>
                        <pic:blipFill>
                          <a:blip r:embed="rId27"/>
                          <a:stretch>
                            <a:fillRect/>
                          </a:stretch>
                        </pic:blipFill>
                        <pic:spPr>
                          <a:xfrm>
                            <a:off x="0" y="0"/>
                            <a:ext cx="876300" cy="479425"/>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47" w:hRule="atLeast"/>
        </w:trPr>
        <w:tc>
          <w:tcPr>
            <w:tcW w:w="0" w:type="auto"/>
            <w:gridSpan w:val="7"/>
            <w:shd w:val="clear" w:color="auto" w:fill="auto"/>
            <w:noWrap/>
            <w:vAlign w:val="center"/>
          </w:tcPr>
          <w:p>
            <w:pPr>
              <w:widowControl/>
              <w:jc w:val="center"/>
              <w:textAlignment w:val="center"/>
              <w:rPr>
                <w:rFonts w:ascii="宋体" w:hAnsi="宋体" w:cs="宋体"/>
                <w:b/>
                <w:bCs/>
                <w:color w:val="auto"/>
                <w:sz w:val="24"/>
                <w:szCs w:val="24"/>
                <w:highlight w:val="none"/>
              </w:rPr>
            </w:pPr>
            <w:r>
              <w:rPr>
                <w:rFonts w:hint="eastAsia" w:ascii="宋体" w:hAnsi="宋体" w:cs="宋体"/>
                <w:b/>
                <w:bCs/>
                <w:color w:val="auto"/>
                <w:kern w:val="0"/>
                <w:sz w:val="24"/>
                <w:szCs w:val="24"/>
                <w:highlight w:val="none"/>
                <w:lang w:bidi="ar"/>
              </w:rPr>
              <w:t>值班室2间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序号</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产品名称</w:t>
            </w:r>
          </w:p>
        </w:tc>
        <w:tc>
          <w:tcPr>
            <w:tcW w:w="0" w:type="auto"/>
            <w:shd w:val="clear" w:color="auto" w:fill="auto"/>
            <w:noWrap/>
            <w:vAlign w:val="center"/>
          </w:tcPr>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参数</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数量</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单位</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参考图片</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上下铺二人床</w:t>
            </w:r>
          </w:p>
        </w:tc>
        <w:tc>
          <w:tcPr>
            <w:tcW w:w="9863" w:type="dxa"/>
            <w:shd w:val="clear" w:color="auto" w:fill="auto"/>
          </w:tcPr>
          <w:p>
            <w:pPr>
              <w:widowControl/>
              <w:numPr>
                <w:ilvl w:val="0"/>
                <w:numId w:val="0"/>
              </w:numPr>
              <w:jc w:val="left"/>
              <w:textAlignment w:val="top"/>
              <w:rPr>
                <w:rFonts w:ascii="宋体" w:hAnsi="宋体" w:cs="宋体"/>
                <w:color w:val="auto"/>
                <w:kern w:val="0"/>
                <w:sz w:val="24"/>
                <w:szCs w:val="24"/>
                <w:highlight w:val="none"/>
                <w:lang w:bidi="ar"/>
              </w:rPr>
            </w:pPr>
            <w:r>
              <w:rPr>
                <w:rFonts w:ascii="宋体" w:hAnsi="宋体" w:cs="宋体"/>
                <w:color w:val="auto"/>
                <w:kern w:val="0"/>
                <w:sz w:val="24"/>
                <w:szCs w:val="24"/>
                <w:highlight w:val="none"/>
                <w:lang w:bidi="ar"/>
              </w:rPr>
              <w:t>1.</w:t>
            </w:r>
            <w:r>
              <w:rPr>
                <w:rFonts w:hint="eastAsia" w:ascii="宋体" w:hAnsi="宋体" w:cs="宋体"/>
                <w:color w:val="auto"/>
                <w:kern w:val="0"/>
                <w:sz w:val="24"/>
                <w:szCs w:val="24"/>
                <w:highlight w:val="none"/>
                <w:lang w:bidi="ar"/>
              </w:rPr>
              <w:t>整体尺寸：2500*1044*1880</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±10mm），双层床尺寸：2000*1044*1880mm（允许±10mm）；</w:t>
            </w:r>
          </w:p>
          <w:p>
            <w:pPr>
              <w:widowControl/>
              <w:numPr>
                <w:ilvl w:val="0"/>
                <w:numId w:val="0"/>
              </w:numPr>
              <w:jc w:val="left"/>
              <w:textAlignment w:val="top"/>
              <w:rPr>
                <w:rFonts w:ascii="宋体" w:hAnsi="宋体" w:cs="宋体"/>
                <w:color w:val="auto"/>
                <w:kern w:val="0"/>
                <w:sz w:val="24"/>
                <w:szCs w:val="24"/>
                <w:highlight w:val="none"/>
                <w:lang w:bidi="ar"/>
              </w:rPr>
            </w:pPr>
            <w:r>
              <w:rPr>
                <w:rFonts w:ascii="宋体" w:hAnsi="宋体" w:cs="宋体"/>
                <w:color w:val="auto"/>
                <w:kern w:val="0"/>
                <w:sz w:val="24"/>
                <w:szCs w:val="24"/>
                <w:highlight w:val="none"/>
                <w:lang w:bidi="ar"/>
              </w:rPr>
              <w:t>2.</w:t>
            </w:r>
            <w:r>
              <w:rPr>
                <w:rFonts w:hint="eastAsia" w:ascii="宋体" w:hAnsi="宋体" w:cs="宋体"/>
                <w:color w:val="auto"/>
                <w:kern w:val="0"/>
                <w:sz w:val="24"/>
                <w:szCs w:val="24"/>
                <w:highlight w:val="none"/>
                <w:lang w:bidi="ar"/>
              </w:rPr>
              <w:t>材质：颗粒板+铝合金+钢架；</w:t>
            </w:r>
          </w:p>
          <w:p>
            <w:pPr>
              <w:widowControl/>
              <w:numPr>
                <w:ilvl w:val="0"/>
                <w:numId w:val="0"/>
              </w:numPr>
              <w:jc w:val="left"/>
              <w:textAlignment w:val="top"/>
              <w:rPr>
                <w:rFonts w:ascii="宋体" w:hAnsi="宋体" w:cs="宋体"/>
                <w:color w:val="auto"/>
                <w:kern w:val="0"/>
                <w:sz w:val="24"/>
                <w:szCs w:val="24"/>
                <w:highlight w:val="none"/>
                <w:lang w:bidi="ar"/>
              </w:rPr>
            </w:pPr>
            <w:r>
              <w:rPr>
                <w:rFonts w:ascii="宋体" w:hAnsi="宋体" w:cs="宋体"/>
                <w:color w:val="auto"/>
                <w:kern w:val="0"/>
                <w:sz w:val="24"/>
                <w:szCs w:val="24"/>
                <w:highlight w:val="none"/>
                <w:lang w:bidi="ar"/>
              </w:rPr>
              <w:t>3.</w:t>
            </w:r>
            <w:r>
              <w:rPr>
                <w:rFonts w:hint="eastAsia" w:ascii="宋体" w:hAnsi="宋体" w:cs="宋体"/>
                <w:color w:val="auto"/>
                <w:kern w:val="0"/>
                <w:sz w:val="24"/>
                <w:szCs w:val="24"/>
                <w:highlight w:val="none"/>
                <w:lang w:bidi="ar"/>
              </w:rPr>
              <w:t>工艺：</w:t>
            </w:r>
            <w:r>
              <w:rPr>
                <w:rFonts w:hint="eastAsia" w:ascii="宋体" w:hAnsi="宋体" w:cs="宋体"/>
                <w:color w:val="auto"/>
                <w:kern w:val="0"/>
                <w:sz w:val="24"/>
                <w:szCs w:val="24"/>
                <w:highlight w:val="none"/>
                <w:lang w:bidi="ar"/>
              </w:rPr>
              <w:t>立柱</w:t>
            </w:r>
            <w:r>
              <w:rPr>
                <w:rFonts w:hint="eastAsia" w:ascii="宋体" w:hAnsi="宋体" w:cs="宋体"/>
                <w:color w:val="auto"/>
                <w:kern w:val="0"/>
                <w:sz w:val="24"/>
                <w:szCs w:val="24"/>
                <w:highlight w:val="none"/>
                <w:lang w:bidi="ar"/>
              </w:rPr>
              <w:t>采用L形去转角造型 ，宽度35*厚度2.0mm</w:t>
            </w:r>
            <w:r>
              <w:rPr>
                <w:rFonts w:hint="eastAsia" w:ascii="宋体" w:hAnsi="宋体" w:cs="宋体"/>
                <w:color w:val="auto"/>
                <w:kern w:val="0"/>
                <w:sz w:val="24"/>
                <w:szCs w:val="24"/>
                <w:highlight w:val="none"/>
                <w:lang w:bidi="ar"/>
              </w:rPr>
              <w:t>（允许±0.2mm）</w:t>
            </w:r>
            <w:r>
              <w:rPr>
                <w:rFonts w:hint="eastAsia" w:ascii="宋体" w:hAnsi="宋体" w:cs="宋体"/>
                <w:color w:val="auto"/>
                <w:kern w:val="0"/>
                <w:sz w:val="24"/>
                <w:szCs w:val="24"/>
                <w:highlight w:val="none"/>
                <w:lang w:bidi="ar"/>
              </w:rPr>
              <w:t>铝合金挤出成型并高温粉体烤漆,内嵌1845*25*厚度1.5mm</w:t>
            </w:r>
            <w:r>
              <w:rPr>
                <w:rFonts w:hint="eastAsia" w:ascii="宋体" w:hAnsi="宋体" w:cs="宋体"/>
                <w:color w:val="auto"/>
                <w:kern w:val="0"/>
                <w:sz w:val="24"/>
                <w:szCs w:val="24"/>
                <w:highlight w:val="none"/>
                <w:lang w:bidi="ar"/>
              </w:rPr>
              <w:t xml:space="preserve">（允许±0.2mm）PVC胶条，上下盖采用ABS塑胶射出成型,下部脚座尼龙质加耐磨耐压调整脚可以水平调整。                                           </w:t>
            </w:r>
            <w:r>
              <w:rPr>
                <w:rFonts w:hint="eastAsia" w:ascii="宋体" w:hAnsi="宋体" w:cs="宋体"/>
                <w:color w:val="auto"/>
                <w:kern w:val="0"/>
                <w:sz w:val="24"/>
                <w:szCs w:val="24"/>
                <w:highlight w:val="none"/>
                <w:lang w:val="en-US" w:eastAsia="zh-CN" w:bidi="ar"/>
              </w:rPr>
              <w:t xml:space="preserve">                  </w:t>
            </w:r>
            <w:r>
              <w:rPr>
                <w:rFonts w:hint="eastAsia" w:ascii="宋体" w:hAnsi="宋体" w:cs="宋体"/>
                <w:color w:val="auto"/>
                <w:kern w:val="0"/>
                <w:sz w:val="24"/>
                <w:szCs w:val="24"/>
                <w:highlight w:val="none"/>
                <w:lang w:bidi="ar"/>
              </w:rPr>
              <w:t>4.床架尺寸：1925*968*40mmm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±5mm），两头横杆尺寸925*10*30mm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±5mm），两侧钢管尺寸：1925*20*40mm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±5mm），中间钢管尺寸：925*20*40mm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±5mm），钢管焊接表面焊接抛光成型,烤粉体涂装全自动遂道式九道防锈处理，两次静电涂装，决无漏喷、太薄、流坠等现象，涂膜厚度在21MICORN以上,与床柱固定,安全又牢固.                                                  上侧板尺寸900*410*18mm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±5mm），下侧板尺寸900*510*18mm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±5mm），基材采用国家标准E1级板，厚度≥18mm,</w:t>
            </w:r>
            <w:r>
              <w:rPr>
                <w:rFonts w:hint="eastAsia" w:ascii="宋体" w:hAnsi="宋体" w:cs="宋体"/>
                <w:color w:val="auto"/>
                <w:kern w:val="0"/>
                <w:sz w:val="24"/>
                <w:szCs w:val="24"/>
                <w:highlight w:val="none"/>
                <w:lang w:bidi="ar"/>
              </w:rPr>
              <w:t xml:space="preserve">基材采用颗粒板，面贴三聚氰胺纸，PVC直封边制作。  </w:t>
            </w:r>
            <w:r>
              <w:rPr>
                <w:rFonts w:hint="eastAsia" w:ascii="宋体" w:hAnsi="宋体" w:cs="宋体"/>
                <w:color w:val="auto"/>
                <w:kern w:val="0"/>
                <w:sz w:val="24"/>
                <w:szCs w:val="24"/>
                <w:highlight w:val="none"/>
                <w:lang w:bidi="ar"/>
              </w:rPr>
              <w:t xml:space="preserve">                                          步梯尺寸：500**968*H1600mm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±5mm），材质：采用国家标准E1级板，厚度≥18mm,</w:t>
            </w:r>
            <w:r>
              <w:rPr>
                <w:rFonts w:hint="eastAsia" w:ascii="宋体" w:hAnsi="宋体" w:cs="宋体"/>
                <w:color w:val="auto"/>
                <w:kern w:val="0"/>
                <w:sz w:val="24"/>
                <w:szCs w:val="24"/>
                <w:highlight w:val="none"/>
                <w:lang w:bidi="ar"/>
              </w:rPr>
              <w:t>基材采用颗粒板，面贴三聚氰胺纸，</w:t>
            </w:r>
            <w:r>
              <w:rPr>
                <w:rFonts w:hint="eastAsia" w:ascii="宋体" w:hAnsi="宋体" w:cs="宋体"/>
                <w:color w:val="auto"/>
                <w:kern w:val="0"/>
                <w:sz w:val="24"/>
                <w:szCs w:val="24"/>
                <w:highlight w:val="none"/>
                <w:lang w:bidi="ar"/>
              </w:rPr>
              <w:t>PVC直封边制作。</w:t>
            </w:r>
            <w:r>
              <w:rPr>
                <w:rFonts w:hint="eastAsia" w:ascii="宋体" w:hAnsi="宋体" w:cs="宋体"/>
                <w:color w:val="auto"/>
                <w:kern w:val="0"/>
                <w:sz w:val="24"/>
                <w:szCs w:val="24"/>
                <w:highlight w:val="none"/>
                <w:lang w:bidi="ar"/>
              </w:rPr>
              <w:t>五金件采用液压铰链</w:t>
            </w:r>
            <w:r>
              <w:rPr>
                <w:rFonts w:hint="eastAsia" w:ascii="宋体" w:hAnsi="宋体" w:cs="宋体"/>
                <w:color w:val="auto"/>
                <w:kern w:val="0"/>
                <w:sz w:val="24"/>
                <w:szCs w:val="24"/>
                <w:highlight w:val="none"/>
                <w:lang w:bidi="ar"/>
              </w:rPr>
              <w:t xml:space="preserve">。                                      </w:t>
            </w:r>
          </w:p>
          <w:p>
            <w:pPr>
              <w:widowControl/>
              <w:numPr>
                <w:ilvl w:val="255"/>
                <w:numId w:val="0"/>
              </w:numPr>
              <w:jc w:val="left"/>
              <w:textAlignment w:val="top"/>
              <w:rPr>
                <w:rFonts w:ascii="宋体" w:hAnsi="宋体" w:cs="宋体"/>
                <w:color w:val="auto"/>
                <w:sz w:val="24"/>
                <w:szCs w:val="24"/>
                <w:highlight w:val="none"/>
              </w:rPr>
            </w:pPr>
            <w:r>
              <w:rPr>
                <w:rFonts w:hint="eastAsia" w:ascii="宋体" w:hAnsi="宋体" w:cs="宋体"/>
                <w:color w:val="auto"/>
                <w:kern w:val="0"/>
                <w:sz w:val="24"/>
                <w:szCs w:val="24"/>
                <w:highlight w:val="none"/>
                <w:lang w:bidi="ar"/>
              </w:rPr>
              <w:t>5.床下抽屉尺寸：480*600*H240mm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±5mm），材质：采用国家标准E1级板，厚度≥18mm,</w:t>
            </w:r>
            <w:r>
              <w:rPr>
                <w:rFonts w:hint="eastAsia" w:ascii="宋体" w:hAnsi="宋体" w:cs="宋体"/>
                <w:color w:val="auto"/>
                <w:kern w:val="0"/>
                <w:sz w:val="24"/>
                <w:szCs w:val="24"/>
                <w:highlight w:val="none"/>
                <w:lang w:bidi="ar"/>
              </w:rPr>
              <w:t>基材采用颗粒板，面贴三聚氰胺纸</w:t>
            </w:r>
            <w:r>
              <w:rPr>
                <w:rFonts w:hint="eastAsia" w:ascii="宋体" w:hAnsi="宋体" w:cs="宋体"/>
                <w:color w:val="auto"/>
                <w:kern w:val="0"/>
                <w:sz w:val="24"/>
                <w:szCs w:val="24"/>
                <w:highlight w:val="none"/>
                <w:lang w:bidi="ar"/>
              </w:rPr>
              <w:t>，PVC直封边制作。底部带轮子可移动抽拉，轮子尺寸20*25*H18mm。                                                                          前立板尺寸：1860*400*18mm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±5mm），分别标有AB字母亚克力三角形指示牌,指示牌尺寸为125*115mm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±2mm）。                                                                 床铺板尺寸：1925*967*18mm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±5mm），基材采用18mm厚颗粒板。                                    含1个蚊帐架。</w:t>
            </w:r>
          </w:p>
        </w:tc>
        <w:tc>
          <w:tcPr>
            <w:tcW w:w="81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2 </w:t>
            </w:r>
          </w:p>
        </w:tc>
        <w:tc>
          <w:tcPr>
            <w:tcW w:w="69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79744" behindDoc="0" locked="0" layoutInCell="1" allowOverlap="1">
                  <wp:simplePos x="0" y="0"/>
                  <wp:positionH relativeFrom="column">
                    <wp:posOffset>661035</wp:posOffset>
                  </wp:positionH>
                  <wp:positionV relativeFrom="paragraph">
                    <wp:posOffset>472440</wp:posOffset>
                  </wp:positionV>
                  <wp:extent cx="836930" cy="396240"/>
                  <wp:effectExtent l="0" t="0" r="1270" b="0"/>
                  <wp:wrapNone/>
                  <wp:docPr id="42" name="图片_17"/>
                  <wp:cNvGraphicFramePr/>
                  <a:graphic xmlns:a="http://schemas.openxmlformats.org/drawingml/2006/main">
                    <a:graphicData uri="http://schemas.openxmlformats.org/drawingml/2006/picture">
                      <pic:pic xmlns:pic="http://schemas.openxmlformats.org/drawingml/2006/picture">
                        <pic:nvPicPr>
                          <pic:cNvPr id="42" name="图片_17"/>
                          <pic:cNvPicPr/>
                        </pic:nvPicPr>
                        <pic:blipFill>
                          <a:blip r:embed="rId28"/>
                          <a:stretch>
                            <a:fillRect/>
                          </a:stretch>
                        </pic:blipFill>
                        <pic:spPr>
                          <a:xfrm>
                            <a:off x="0" y="0"/>
                            <a:ext cx="836930" cy="396240"/>
                          </a:xfrm>
                          <a:prstGeom prst="rect">
                            <a:avLst/>
                          </a:prstGeom>
                          <a:noFill/>
                          <a:ln>
                            <a:noFill/>
                          </a:ln>
                        </pic:spPr>
                      </pic:pic>
                    </a:graphicData>
                  </a:graphic>
                </wp:anchor>
              </w:drawing>
            </w:r>
            <w:r>
              <w:rPr>
                <w:rFonts w:hint="eastAsia" w:ascii="宋体" w:hAnsi="宋体" w:cs="宋体"/>
                <w:color w:val="auto"/>
                <w:kern w:val="0"/>
                <w:sz w:val="24"/>
                <w:szCs w:val="24"/>
                <w:highlight w:val="none"/>
                <w:lang w:bidi="ar"/>
              </w:rPr>
              <w:t>套</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p>
        </w:tc>
        <w:tc>
          <w:tcPr>
            <w:tcW w:w="69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2人位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76"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2</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更衣柜</w:t>
            </w:r>
          </w:p>
        </w:tc>
        <w:tc>
          <w:tcPr>
            <w:tcW w:w="9863"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1.尺寸：830*600*2000mm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2.材质：颗粒板；</w:t>
            </w:r>
          </w:p>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3.工艺：采用国家标准E1级板，厚度≥18mm,基材采用颗粒板，面贴三聚氰胺纸，PVC直封边制作。中间有中立板隔开成双人位，上下层板为活动层板。每个门板尺寸950*390mm±5mm。</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 xml:space="preserve">4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组</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80768" behindDoc="0" locked="0" layoutInCell="1" allowOverlap="1">
                  <wp:simplePos x="0" y="0"/>
                  <wp:positionH relativeFrom="column">
                    <wp:posOffset>184150</wp:posOffset>
                  </wp:positionH>
                  <wp:positionV relativeFrom="paragraph">
                    <wp:posOffset>277495</wp:posOffset>
                  </wp:positionV>
                  <wp:extent cx="320675" cy="592455"/>
                  <wp:effectExtent l="0" t="0" r="14605" b="1905"/>
                  <wp:wrapNone/>
                  <wp:docPr id="43" name="图片_18"/>
                  <wp:cNvGraphicFramePr/>
                  <a:graphic xmlns:a="http://schemas.openxmlformats.org/drawingml/2006/main">
                    <a:graphicData uri="http://schemas.openxmlformats.org/drawingml/2006/picture">
                      <pic:pic xmlns:pic="http://schemas.openxmlformats.org/drawingml/2006/picture">
                        <pic:nvPicPr>
                          <pic:cNvPr id="43" name="图片_18"/>
                          <pic:cNvPicPr/>
                        </pic:nvPicPr>
                        <pic:blipFill>
                          <a:blip r:embed="rId29"/>
                          <a:stretch>
                            <a:fillRect/>
                          </a:stretch>
                        </pic:blipFill>
                        <pic:spPr>
                          <a:xfrm>
                            <a:off x="0" y="0"/>
                            <a:ext cx="320675" cy="592455"/>
                          </a:xfrm>
                          <a:prstGeom prst="rect">
                            <a:avLst/>
                          </a:prstGeom>
                          <a:noFill/>
                          <a:ln>
                            <a:noFill/>
                          </a:ln>
                        </pic:spPr>
                      </pic:pic>
                    </a:graphicData>
                  </a:graphic>
                </wp:anchor>
              </w:drawing>
            </w:r>
          </w:p>
        </w:tc>
        <w:tc>
          <w:tcPr>
            <w:tcW w:w="0" w:type="auto"/>
            <w:shd w:val="clear" w:color="auto" w:fill="auto"/>
            <w:noWrap/>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65"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3</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床垫</w:t>
            </w:r>
          </w:p>
        </w:tc>
        <w:tc>
          <w:tcPr>
            <w:tcW w:w="9863" w:type="dxa"/>
            <w:shd w:val="clear" w:color="auto" w:fill="auto"/>
            <w:vAlign w:val="center"/>
          </w:tcPr>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椰棕床垫</w:t>
            </w:r>
            <w:r>
              <w:rPr>
                <w:rFonts w:hint="eastAsia" w:ascii="宋体" w:hAnsi="宋体" w:cs="宋体"/>
                <w:color w:val="auto"/>
                <w:kern w:val="0"/>
                <w:sz w:val="24"/>
                <w:szCs w:val="24"/>
                <w:highlight w:val="none"/>
                <w:lang w:bidi="ar"/>
              </w:rPr>
              <w:t>，1900*960*厚度50mm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±2mm）。</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ascii="宋体" w:hAnsi="宋体" w:cs="宋体"/>
                <w:color w:val="auto"/>
                <w:kern w:val="0"/>
                <w:sz w:val="24"/>
                <w:szCs w:val="24"/>
                <w:highlight w:val="none"/>
                <w:lang w:bidi="ar"/>
              </w:rPr>
              <w:t>4</w:t>
            </w:r>
            <w:r>
              <w:rPr>
                <w:rFonts w:hint="eastAsia" w:ascii="宋体" w:hAnsi="宋体" w:cs="宋体"/>
                <w:color w:val="auto"/>
                <w:kern w:val="0"/>
                <w:sz w:val="24"/>
                <w:szCs w:val="24"/>
                <w:highlight w:val="none"/>
                <w:lang w:bidi="ar"/>
              </w:rPr>
              <w:t xml:space="preserve">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张</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60288" behindDoc="0" locked="0" layoutInCell="1" allowOverlap="1">
                  <wp:simplePos x="0" y="0"/>
                  <wp:positionH relativeFrom="column">
                    <wp:posOffset>339090</wp:posOffset>
                  </wp:positionH>
                  <wp:positionV relativeFrom="paragraph">
                    <wp:posOffset>142240</wp:posOffset>
                  </wp:positionV>
                  <wp:extent cx="223520" cy="581660"/>
                  <wp:effectExtent l="0" t="0" r="5080" b="12700"/>
                  <wp:wrapNone/>
                  <wp:docPr id="44" name="图片_4"/>
                  <wp:cNvGraphicFramePr/>
                  <a:graphic xmlns:a="http://schemas.openxmlformats.org/drawingml/2006/main">
                    <a:graphicData uri="http://schemas.openxmlformats.org/drawingml/2006/picture">
                      <pic:pic xmlns:pic="http://schemas.openxmlformats.org/drawingml/2006/picture">
                        <pic:nvPicPr>
                          <pic:cNvPr id="44" name="图片_4"/>
                          <pic:cNvPicPr/>
                        </pic:nvPicPr>
                        <pic:blipFill>
                          <a:blip r:embed="rId30"/>
                          <a:stretch>
                            <a:fillRect/>
                          </a:stretch>
                        </pic:blipFill>
                        <pic:spPr>
                          <a:xfrm>
                            <a:off x="0" y="0"/>
                            <a:ext cx="223520" cy="581660"/>
                          </a:xfrm>
                          <a:prstGeom prst="rect">
                            <a:avLst/>
                          </a:prstGeom>
                          <a:noFill/>
                          <a:ln>
                            <a:noFill/>
                          </a:ln>
                        </pic:spPr>
                      </pic:pic>
                    </a:graphicData>
                  </a:graphic>
                </wp:anchor>
              </w:drawing>
            </w:r>
          </w:p>
        </w:tc>
        <w:tc>
          <w:tcPr>
            <w:tcW w:w="0" w:type="auto"/>
            <w:shd w:val="clear" w:color="auto" w:fill="auto"/>
            <w:noWrap/>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64" w:hRule="atLeast"/>
        </w:trPr>
        <w:tc>
          <w:tcPr>
            <w:tcW w:w="0" w:type="auto"/>
            <w:gridSpan w:val="7"/>
            <w:shd w:val="clear" w:color="auto" w:fill="auto"/>
            <w:noWrap/>
            <w:vAlign w:val="center"/>
          </w:tcPr>
          <w:p>
            <w:pPr>
              <w:widowControl/>
              <w:jc w:val="center"/>
              <w:textAlignment w:val="center"/>
              <w:rPr>
                <w:rFonts w:ascii="宋体" w:hAnsi="宋体" w:cs="宋体"/>
                <w:b/>
                <w:bCs/>
                <w:color w:val="auto"/>
                <w:sz w:val="24"/>
                <w:szCs w:val="24"/>
                <w:highlight w:val="none"/>
              </w:rPr>
            </w:pPr>
            <w:r>
              <w:rPr>
                <w:rFonts w:hint="eastAsia" w:ascii="宋体" w:hAnsi="宋体" w:cs="宋体"/>
                <w:b/>
                <w:bCs/>
                <w:color w:val="auto"/>
                <w:kern w:val="0"/>
                <w:sz w:val="24"/>
                <w:szCs w:val="24"/>
                <w:highlight w:val="none"/>
                <w:lang w:bidi="ar"/>
              </w:rPr>
              <w:t>生管室2间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序号</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产品名称</w:t>
            </w:r>
          </w:p>
        </w:tc>
        <w:tc>
          <w:tcPr>
            <w:tcW w:w="0" w:type="auto"/>
            <w:shd w:val="clear" w:color="auto" w:fill="auto"/>
            <w:noWrap/>
            <w:vAlign w:val="center"/>
          </w:tcPr>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参数</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数量</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单位</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参考图片</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0" w:type="auto"/>
            <w:shd w:val="clear" w:color="auto" w:fill="FFFFFF"/>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w:t>
            </w:r>
          </w:p>
        </w:tc>
        <w:tc>
          <w:tcPr>
            <w:tcW w:w="1176" w:type="dxa"/>
            <w:shd w:val="clear" w:color="auto" w:fill="FFFFFF"/>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上下铺四人床</w:t>
            </w:r>
          </w:p>
        </w:tc>
        <w:tc>
          <w:tcPr>
            <w:tcW w:w="9863" w:type="dxa"/>
            <w:shd w:val="clear" w:color="auto" w:fill="auto"/>
          </w:tcPr>
          <w:p>
            <w:pPr>
              <w:widowControl/>
              <w:ind w:left="239" w:leftChars="114"/>
              <w:jc w:val="left"/>
              <w:textAlignment w:val="top"/>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1.整体</w:t>
            </w:r>
            <w:r>
              <w:rPr>
                <w:rFonts w:hint="eastAsia" w:ascii="宋体" w:hAnsi="宋体" w:cs="宋体"/>
                <w:color w:val="auto"/>
                <w:kern w:val="0"/>
                <w:sz w:val="24"/>
                <w:szCs w:val="24"/>
                <w:highlight w:val="none"/>
                <w:lang w:bidi="ar"/>
              </w:rPr>
              <w:t>尺寸</w:t>
            </w:r>
            <w:r>
              <w:rPr>
                <w:rFonts w:hint="eastAsia" w:ascii="宋体" w:hAnsi="宋体" w:cs="宋体"/>
                <w:color w:val="auto"/>
                <w:kern w:val="0"/>
                <w:sz w:val="24"/>
                <w:szCs w:val="24"/>
                <w:highlight w:val="none"/>
                <w:lang w:bidi="ar"/>
              </w:rPr>
              <w:t>：4500*1044*1880mm（允许±10mm），双层床尺寸：2000*1044*1880mm（允许±10mm）；</w:t>
            </w:r>
          </w:p>
          <w:p>
            <w:pPr>
              <w:widowControl/>
              <w:ind w:left="239" w:leftChars="114"/>
              <w:jc w:val="left"/>
              <w:textAlignment w:val="top"/>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2.材质：颗粒板+铝合金+钢架；</w:t>
            </w:r>
          </w:p>
          <w:p>
            <w:pPr>
              <w:widowControl/>
              <w:ind w:left="239" w:leftChars="114"/>
              <w:jc w:val="left"/>
              <w:textAlignment w:val="top"/>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3.</w:t>
            </w:r>
            <w:r>
              <w:rPr>
                <w:rFonts w:hint="eastAsia" w:ascii="宋体" w:hAnsi="宋体" w:cs="宋体"/>
                <w:color w:val="auto"/>
                <w:kern w:val="0"/>
                <w:sz w:val="24"/>
                <w:szCs w:val="24"/>
                <w:highlight w:val="none"/>
                <w:lang w:bidi="ar"/>
              </w:rPr>
              <w:t>工艺：</w:t>
            </w:r>
            <w:r>
              <w:rPr>
                <w:rFonts w:hint="eastAsia" w:ascii="宋体" w:hAnsi="宋体" w:cs="宋体"/>
                <w:color w:val="auto"/>
                <w:kern w:val="0"/>
                <w:sz w:val="24"/>
                <w:szCs w:val="24"/>
                <w:highlight w:val="none"/>
                <w:lang w:bidi="ar"/>
              </w:rPr>
              <w:t>立柱</w:t>
            </w:r>
            <w:r>
              <w:rPr>
                <w:rFonts w:hint="eastAsia" w:ascii="宋体" w:hAnsi="宋体" w:cs="宋体"/>
                <w:color w:val="auto"/>
                <w:kern w:val="0"/>
                <w:sz w:val="24"/>
                <w:szCs w:val="24"/>
                <w:highlight w:val="none"/>
                <w:lang w:bidi="ar"/>
              </w:rPr>
              <w:t>采用L形去转角造型 ，宽度35*厚度2.0mm</w:t>
            </w:r>
            <w:r>
              <w:rPr>
                <w:rFonts w:hint="eastAsia" w:ascii="宋体" w:hAnsi="宋体" w:cs="宋体"/>
                <w:color w:val="auto"/>
                <w:kern w:val="0"/>
                <w:sz w:val="24"/>
                <w:szCs w:val="24"/>
                <w:highlight w:val="none"/>
                <w:lang w:bidi="ar"/>
              </w:rPr>
              <w:t>（允许±0.2mm）</w:t>
            </w:r>
            <w:r>
              <w:rPr>
                <w:rFonts w:hint="eastAsia" w:ascii="宋体" w:hAnsi="宋体" w:cs="宋体"/>
                <w:color w:val="auto"/>
                <w:kern w:val="0"/>
                <w:sz w:val="24"/>
                <w:szCs w:val="24"/>
                <w:highlight w:val="none"/>
                <w:lang w:bidi="ar"/>
              </w:rPr>
              <w:t>铝合金挤出成型并高温粉体烤漆,内嵌1845*25*厚度1.5mm</w:t>
            </w:r>
            <w:r>
              <w:rPr>
                <w:rFonts w:hint="eastAsia" w:ascii="宋体" w:hAnsi="宋体" w:cs="宋体"/>
                <w:color w:val="auto"/>
                <w:kern w:val="0"/>
                <w:sz w:val="24"/>
                <w:szCs w:val="24"/>
                <w:highlight w:val="none"/>
                <w:lang w:bidi="ar"/>
              </w:rPr>
              <w:t>（允许±0.2mm）PVC胶条，</w:t>
            </w:r>
            <w:r>
              <w:rPr>
                <w:rFonts w:hint="eastAsia" w:ascii="宋体" w:hAnsi="宋体" w:cs="宋体"/>
                <w:color w:val="auto"/>
                <w:kern w:val="0"/>
                <w:sz w:val="24"/>
                <w:szCs w:val="24"/>
                <w:highlight w:val="none"/>
                <w:lang w:bidi="ar"/>
              </w:rPr>
              <w:t>上下盖采用ABS塑胶射出成型,下部脚座尼龙质加耐磨耐压调整脚可以水平调整。</w:t>
            </w:r>
            <w:r>
              <w:rPr>
                <w:rFonts w:hint="eastAsia" w:ascii="宋体" w:hAnsi="宋体" w:cs="宋体"/>
                <w:color w:val="auto"/>
                <w:kern w:val="0"/>
                <w:sz w:val="24"/>
                <w:szCs w:val="24"/>
                <w:highlight w:val="none"/>
                <w:lang w:bidi="ar"/>
              </w:rPr>
              <w:t xml:space="preserve">                               </w:t>
            </w:r>
          </w:p>
          <w:p>
            <w:pPr>
              <w:widowControl/>
              <w:jc w:val="left"/>
              <w:textAlignment w:val="top"/>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4.床架尺寸：1925*968*40mm（允许±5mm），两头横杆尺寸925*10*30mm（允许±5mm），两侧钢管尺寸：1925*20*40mm（允许±5mm），中间钢管尺寸：925*20*40mm（允许±5mm），钢管焊接表面焊接抛光成型,烤粉体涂装全自动遂道式九道防锈处理，两次静电涂装，决无漏喷、太薄、流坠等现象，涂膜厚度在21MICORN以上,与床柱固定,安全又牢固.                                                  上侧板尺寸900*410*18mm（允许±5mm），下侧板尺寸900*510*18mm（允许±5mm），基材采用国家标准E1级板，厚度≥18mm,基材采用颗粒板，</w:t>
            </w:r>
            <w:r>
              <w:rPr>
                <w:rFonts w:hint="eastAsia" w:ascii="宋体" w:hAnsi="宋体" w:cs="宋体"/>
                <w:color w:val="auto"/>
                <w:kern w:val="0"/>
                <w:sz w:val="24"/>
                <w:szCs w:val="24"/>
                <w:highlight w:val="none"/>
                <w:lang w:bidi="ar"/>
              </w:rPr>
              <w:t>面贴三聚氰胺</w:t>
            </w:r>
            <w:r>
              <w:rPr>
                <w:rFonts w:hint="eastAsia" w:ascii="宋体" w:hAnsi="宋体" w:cs="宋体"/>
                <w:color w:val="auto"/>
                <w:kern w:val="0"/>
                <w:sz w:val="24"/>
                <w:szCs w:val="24"/>
                <w:highlight w:val="none"/>
                <w:lang w:bidi="ar"/>
              </w:rPr>
              <w:t>纸，PVC直封边制作。                                            5.步梯尺寸：500**968*H1600mm（允许±5mm），材质：采用国家标准E1级板，厚度≥18mm,基材采用颗粒板，面贴三聚氰胺纸，PVC直封边制作。五金件采用</w:t>
            </w:r>
            <w:r>
              <w:rPr>
                <w:rFonts w:hint="eastAsia" w:ascii="宋体" w:hAnsi="宋体" w:cs="宋体"/>
                <w:color w:val="auto"/>
                <w:kern w:val="0"/>
                <w:sz w:val="24"/>
                <w:szCs w:val="24"/>
                <w:highlight w:val="none"/>
                <w:lang w:bidi="ar"/>
              </w:rPr>
              <w:t>液压铰链</w:t>
            </w:r>
            <w:r>
              <w:rPr>
                <w:rFonts w:hint="eastAsia" w:ascii="宋体" w:hAnsi="宋体" w:cs="宋体"/>
                <w:color w:val="auto"/>
                <w:kern w:val="0"/>
                <w:sz w:val="24"/>
                <w:szCs w:val="24"/>
                <w:highlight w:val="none"/>
                <w:lang w:bidi="ar"/>
              </w:rPr>
              <w:t>，缓冲效果是普通铰链的五倍。                                                                              6.床下抽屉尺寸：480*600*H240mm（允许±5mm），材质：采用国家标准E1级板，厚度≥18mm,基材采用颗粒板，面贴三聚氰胺纸，PVC直封边制作。底部带轮子可移动抽拉，轮子尺寸20*25*H18mm（允许±5mm）。前立板尺寸：1860*400*18mm（允许±5mm），分别标有ABCD字母亚克力三角形指示牌,指示牌尺寸为125*115mm（允许±2mm）。                                                                          7.床铺板尺寸：1925*967*18mm（允许±5mm），基材采用18mm厚颗粒板。                                  含2个蚊帐架。</w:t>
            </w:r>
          </w:p>
          <w:p>
            <w:pPr>
              <w:widowControl/>
              <w:jc w:val="left"/>
              <w:textAlignment w:val="top"/>
              <w:rPr>
                <w:rFonts w:ascii="宋体" w:hAnsi="宋体" w:cs="宋体"/>
                <w:color w:val="auto"/>
                <w:kern w:val="0"/>
                <w:sz w:val="24"/>
                <w:szCs w:val="24"/>
                <w:highlight w:val="none"/>
                <w:lang w:bidi="ar"/>
              </w:rPr>
            </w:pPr>
          </w:p>
          <w:p>
            <w:pPr>
              <w:widowControl/>
              <w:jc w:val="left"/>
              <w:textAlignment w:val="top"/>
              <w:rPr>
                <w:rFonts w:ascii="宋体" w:hAnsi="宋体" w:cs="宋体"/>
                <w:color w:val="auto"/>
                <w:sz w:val="24"/>
                <w:szCs w:val="24"/>
                <w:highlight w:val="none"/>
              </w:rPr>
            </w:pPr>
          </w:p>
        </w:tc>
        <w:tc>
          <w:tcPr>
            <w:tcW w:w="816" w:type="dxa"/>
            <w:shd w:val="clear" w:color="auto" w:fill="FFFFFF"/>
            <w:vAlign w:val="center"/>
          </w:tcPr>
          <w:p>
            <w:pPr>
              <w:widowControl/>
              <w:jc w:val="center"/>
              <w:textAlignment w:val="center"/>
              <w:rPr>
                <w:rFonts w:ascii="宋体" w:hAnsi="宋体" w:cs="宋体"/>
                <w:color w:val="auto"/>
                <w:sz w:val="24"/>
                <w:szCs w:val="24"/>
                <w:highlight w:val="none"/>
              </w:rPr>
            </w:pPr>
            <w:r>
              <w:rPr>
                <w:rFonts w:ascii="宋体" w:hAnsi="宋体" w:cs="宋体"/>
                <w:color w:val="auto"/>
                <w:kern w:val="0"/>
                <w:sz w:val="24"/>
                <w:szCs w:val="24"/>
                <w:highlight w:val="none"/>
                <w:lang w:bidi="ar"/>
              </w:rPr>
              <w:t>2</w:t>
            </w:r>
            <w:r>
              <w:rPr>
                <w:rFonts w:hint="eastAsia" w:ascii="宋体" w:hAnsi="宋体" w:cs="宋体"/>
                <w:color w:val="auto"/>
                <w:kern w:val="0"/>
                <w:sz w:val="24"/>
                <w:szCs w:val="24"/>
                <w:highlight w:val="none"/>
                <w:lang w:bidi="ar"/>
              </w:rPr>
              <w:t xml:space="preserve"> </w:t>
            </w:r>
          </w:p>
        </w:tc>
        <w:tc>
          <w:tcPr>
            <w:tcW w:w="696" w:type="dxa"/>
            <w:shd w:val="clear" w:color="auto" w:fill="FFFFFF"/>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套</w:t>
            </w:r>
          </w:p>
        </w:tc>
        <w:tc>
          <w:tcPr>
            <w:tcW w:w="0" w:type="auto"/>
            <w:shd w:val="clear" w:color="auto" w:fill="FFFFFF"/>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shd w:val="clear" w:color="auto" w:fill="FFFFFF"/>
              </w:rPr>
              <w:drawing>
                <wp:anchor distT="0" distB="0" distL="114300" distR="114300" simplePos="0" relativeHeight="251661312" behindDoc="0" locked="0" layoutInCell="1" allowOverlap="1">
                  <wp:simplePos x="0" y="0"/>
                  <wp:positionH relativeFrom="column">
                    <wp:posOffset>-43180</wp:posOffset>
                  </wp:positionH>
                  <wp:positionV relativeFrom="paragraph">
                    <wp:posOffset>-56515</wp:posOffset>
                  </wp:positionV>
                  <wp:extent cx="715645" cy="208915"/>
                  <wp:effectExtent l="0" t="0" r="635" b="4445"/>
                  <wp:wrapNone/>
                  <wp:docPr id="45" name="图片_20"/>
                  <wp:cNvGraphicFramePr/>
                  <a:graphic xmlns:a="http://schemas.openxmlformats.org/drawingml/2006/main">
                    <a:graphicData uri="http://schemas.openxmlformats.org/drawingml/2006/picture">
                      <pic:pic xmlns:pic="http://schemas.openxmlformats.org/drawingml/2006/picture">
                        <pic:nvPicPr>
                          <pic:cNvPr id="45" name="图片_20"/>
                          <pic:cNvPicPr/>
                        </pic:nvPicPr>
                        <pic:blipFill>
                          <a:blip r:embed="rId31"/>
                          <a:stretch>
                            <a:fillRect/>
                          </a:stretch>
                        </pic:blipFill>
                        <pic:spPr>
                          <a:xfrm>
                            <a:off x="0" y="0"/>
                            <a:ext cx="715645" cy="208915"/>
                          </a:xfrm>
                          <a:prstGeom prst="rect">
                            <a:avLst/>
                          </a:prstGeom>
                          <a:noFill/>
                          <a:ln>
                            <a:noFill/>
                          </a:ln>
                        </pic:spPr>
                      </pic:pic>
                    </a:graphicData>
                  </a:graphic>
                </wp:anchor>
              </w:drawing>
            </w:r>
          </w:p>
        </w:tc>
        <w:tc>
          <w:tcPr>
            <w:tcW w:w="696" w:type="dxa"/>
            <w:shd w:val="clear" w:color="auto" w:fill="FFFFFF"/>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四人位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33"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2</w:t>
            </w:r>
          </w:p>
        </w:tc>
        <w:tc>
          <w:tcPr>
            <w:tcW w:w="1176"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更衣柜</w:t>
            </w:r>
          </w:p>
        </w:tc>
        <w:tc>
          <w:tcPr>
            <w:tcW w:w="9863"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1.尺寸：830*600*2000mm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2.材质：颗粒板；</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3.工艺：采用国家标准E1级板，厚度≥18mm,</w:t>
            </w:r>
            <w:r>
              <w:rPr>
                <w:rFonts w:hint="eastAsia" w:ascii="宋体" w:hAnsi="宋体" w:cs="宋体"/>
                <w:color w:val="auto"/>
                <w:kern w:val="0"/>
                <w:sz w:val="24"/>
                <w:szCs w:val="24"/>
                <w:highlight w:val="none"/>
                <w:lang w:bidi="ar"/>
              </w:rPr>
              <w:t>基材采用颗粒板，面贴三聚氰胺纸，PVC直封边制作</w:t>
            </w:r>
            <w:r>
              <w:rPr>
                <w:rFonts w:hint="eastAsia" w:ascii="宋体" w:hAnsi="宋体" w:cs="宋体"/>
                <w:color w:val="auto"/>
                <w:kern w:val="0"/>
                <w:sz w:val="24"/>
                <w:szCs w:val="24"/>
                <w:highlight w:val="none"/>
                <w:lang w:bidi="ar"/>
              </w:rPr>
              <w:t>。中间有中立板隔开成双人位，上下层板为活动层板。每个门板尺寸950*390mm±5mm。</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ascii="宋体" w:hAnsi="宋体" w:cs="宋体"/>
                <w:color w:val="auto"/>
                <w:kern w:val="0"/>
                <w:sz w:val="24"/>
                <w:szCs w:val="24"/>
                <w:highlight w:val="none"/>
                <w:lang w:bidi="ar"/>
              </w:rPr>
              <w:t>8</w:t>
            </w:r>
            <w:r>
              <w:rPr>
                <w:rFonts w:hint="eastAsia" w:ascii="宋体" w:hAnsi="宋体" w:cs="宋体"/>
                <w:color w:val="auto"/>
                <w:kern w:val="0"/>
                <w:sz w:val="24"/>
                <w:szCs w:val="24"/>
                <w:highlight w:val="none"/>
                <w:lang w:bidi="ar"/>
              </w:rPr>
              <w:t xml:space="preserve">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组</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62336" behindDoc="0" locked="0" layoutInCell="1" allowOverlap="1">
                  <wp:simplePos x="0" y="0"/>
                  <wp:positionH relativeFrom="column">
                    <wp:posOffset>170180</wp:posOffset>
                  </wp:positionH>
                  <wp:positionV relativeFrom="paragraph">
                    <wp:posOffset>27305</wp:posOffset>
                  </wp:positionV>
                  <wp:extent cx="543560" cy="1003935"/>
                  <wp:effectExtent l="0" t="0" r="5080" b="1905"/>
                  <wp:wrapNone/>
                  <wp:docPr id="46" name="图片_21"/>
                  <wp:cNvGraphicFramePr/>
                  <a:graphic xmlns:a="http://schemas.openxmlformats.org/drawingml/2006/main">
                    <a:graphicData uri="http://schemas.openxmlformats.org/drawingml/2006/picture">
                      <pic:pic xmlns:pic="http://schemas.openxmlformats.org/drawingml/2006/picture">
                        <pic:nvPicPr>
                          <pic:cNvPr id="46" name="图片_21"/>
                          <pic:cNvPicPr/>
                        </pic:nvPicPr>
                        <pic:blipFill>
                          <a:blip r:embed="rId32"/>
                          <a:stretch>
                            <a:fillRect/>
                          </a:stretch>
                        </pic:blipFill>
                        <pic:spPr>
                          <a:xfrm>
                            <a:off x="0" y="0"/>
                            <a:ext cx="543560" cy="1003935"/>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33"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3</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床垫</w:t>
            </w:r>
          </w:p>
        </w:tc>
        <w:tc>
          <w:tcPr>
            <w:tcW w:w="9863" w:type="dxa"/>
            <w:shd w:val="clear" w:color="auto" w:fill="auto"/>
            <w:vAlign w:val="center"/>
          </w:tcPr>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椰棕床垫</w:t>
            </w:r>
            <w:r>
              <w:rPr>
                <w:rFonts w:hint="eastAsia" w:ascii="宋体" w:hAnsi="宋体" w:cs="宋体"/>
                <w:color w:val="auto"/>
                <w:kern w:val="0"/>
                <w:sz w:val="24"/>
                <w:szCs w:val="24"/>
                <w:highlight w:val="none"/>
                <w:lang w:bidi="ar"/>
              </w:rPr>
              <w:t>，1900*960*厚度50mm</w:t>
            </w:r>
            <w:r>
              <w:rPr>
                <w:rFonts w:hint="eastAsia" w:ascii="宋体" w:hAnsi="宋体" w:cs="宋体"/>
                <w:color w:val="auto"/>
                <w:kern w:val="0"/>
                <w:sz w:val="24"/>
                <w:szCs w:val="24"/>
                <w:highlight w:val="none"/>
                <w:lang w:bidi="ar"/>
              </w:rPr>
              <w:t>（允许±2mm）</w:t>
            </w:r>
            <w:r>
              <w:rPr>
                <w:rFonts w:hint="eastAsia" w:ascii="宋体" w:hAnsi="宋体" w:cs="宋体"/>
                <w:color w:val="auto"/>
                <w:kern w:val="0"/>
                <w:sz w:val="24"/>
                <w:szCs w:val="24"/>
                <w:highlight w:val="none"/>
                <w:lang w:bidi="ar"/>
              </w:rPr>
              <w:t>。</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ascii="宋体" w:hAnsi="宋体" w:cs="宋体"/>
                <w:color w:val="auto"/>
                <w:kern w:val="0"/>
                <w:sz w:val="24"/>
                <w:szCs w:val="24"/>
                <w:highlight w:val="none"/>
                <w:lang w:bidi="ar"/>
              </w:rPr>
              <w:t>8</w:t>
            </w:r>
            <w:r>
              <w:rPr>
                <w:rFonts w:hint="eastAsia" w:ascii="宋体" w:hAnsi="宋体" w:cs="宋体"/>
                <w:color w:val="auto"/>
                <w:kern w:val="0"/>
                <w:sz w:val="24"/>
                <w:szCs w:val="24"/>
                <w:highlight w:val="none"/>
                <w:lang w:bidi="ar"/>
              </w:rPr>
              <w:t xml:space="preserve"> </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张</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63360" behindDoc="0" locked="0" layoutInCell="1" allowOverlap="1">
                  <wp:simplePos x="0" y="0"/>
                  <wp:positionH relativeFrom="column">
                    <wp:posOffset>421005</wp:posOffset>
                  </wp:positionH>
                  <wp:positionV relativeFrom="paragraph">
                    <wp:posOffset>208280</wp:posOffset>
                  </wp:positionV>
                  <wp:extent cx="223520" cy="581660"/>
                  <wp:effectExtent l="0" t="0" r="5080" b="12700"/>
                  <wp:wrapNone/>
                  <wp:docPr id="47" name="图片_1"/>
                  <wp:cNvGraphicFramePr/>
                  <a:graphic xmlns:a="http://schemas.openxmlformats.org/drawingml/2006/main">
                    <a:graphicData uri="http://schemas.openxmlformats.org/drawingml/2006/picture">
                      <pic:pic xmlns:pic="http://schemas.openxmlformats.org/drawingml/2006/picture">
                        <pic:nvPicPr>
                          <pic:cNvPr id="47" name="图片_1"/>
                          <pic:cNvPicPr/>
                        </pic:nvPicPr>
                        <pic:blipFill>
                          <a:blip r:embed="rId33"/>
                          <a:stretch>
                            <a:fillRect/>
                          </a:stretch>
                        </pic:blipFill>
                        <pic:spPr>
                          <a:xfrm>
                            <a:off x="0" y="0"/>
                            <a:ext cx="223520" cy="581660"/>
                          </a:xfrm>
                          <a:prstGeom prst="rect">
                            <a:avLst/>
                          </a:prstGeom>
                          <a:noFill/>
                          <a:ln>
                            <a:noFill/>
                          </a:ln>
                        </pic:spPr>
                      </pic:pic>
                    </a:graphicData>
                  </a:graphic>
                </wp:anchor>
              </w:drawing>
            </w:r>
          </w:p>
        </w:tc>
        <w:tc>
          <w:tcPr>
            <w:tcW w:w="696" w:type="dxa"/>
            <w:shd w:val="clear" w:color="auto" w:fill="auto"/>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47" w:hRule="atLeast"/>
        </w:trPr>
        <w:tc>
          <w:tcPr>
            <w:tcW w:w="0" w:type="auto"/>
            <w:gridSpan w:val="7"/>
            <w:shd w:val="clear" w:color="auto" w:fill="auto"/>
            <w:noWrap/>
            <w:vAlign w:val="center"/>
          </w:tcPr>
          <w:p>
            <w:pPr>
              <w:widowControl/>
              <w:jc w:val="center"/>
              <w:textAlignment w:val="center"/>
              <w:rPr>
                <w:rFonts w:ascii="宋体" w:hAnsi="宋体" w:cs="宋体"/>
                <w:b/>
                <w:bCs/>
                <w:color w:val="auto"/>
                <w:sz w:val="24"/>
                <w:szCs w:val="24"/>
                <w:highlight w:val="none"/>
              </w:rPr>
            </w:pPr>
            <w:r>
              <w:rPr>
                <w:rFonts w:hint="eastAsia" w:ascii="宋体" w:hAnsi="宋体" w:cs="宋体"/>
                <w:b/>
                <w:bCs/>
                <w:color w:val="auto"/>
                <w:kern w:val="0"/>
                <w:sz w:val="24"/>
                <w:szCs w:val="24"/>
                <w:highlight w:val="none"/>
                <w:lang w:bidi="ar"/>
              </w:rPr>
              <w:t>保卫室1间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序号</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产品名称</w:t>
            </w:r>
          </w:p>
        </w:tc>
        <w:tc>
          <w:tcPr>
            <w:tcW w:w="0" w:type="auto"/>
            <w:shd w:val="clear" w:color="auto" w:fill="auto"/>
            <w:noWrap/>
            <w:vAlign w:val="center"/>
          </w:tcPr>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参数</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数量</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单位</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参考图片</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04"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1</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电脑桌</w:t>
            </w:r>
          </w:p>
        </w:tc>
        <w:tc>
          <w:tcPr>
            <w:tcW w:w="9863"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1.尺寸：1800*600*750mm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2.材质：颗粒板+烤漆钢架；</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3.工艺：桌面采用国家标准E1级板，厚度25mm,</w:t>
            </w:r>
            <w:r>
              <w:rPr>
                <w:rFonts w:hint="eastAsia" w:ascii="宋体" w:hAnsi="宋体" w:cs="宋体"/>
                <w:color w:val="auto"/>
                <w:kern w:val="0"/>
                <w:sz w:val="24"/>
                <w:szCs w:val="24"/>
                <w:highlight w:val="none"/>
                <w:lang w:bidi="ar"/>
              </w:rPr>
              <w:t>基材采用颗粒板，</w:t>
            </w:r>
            <w:r>
              <w:rPr>
                <w:rFonts w:hint="eastAsia" w:ascii="宋体" w:hAnsi="宋体" w:cs="宋体"/>
                <w:color w:val="auto"/>
                <w:kern w:val="0"/>
                <w:sz w:val="24"/>
                <w:szCs w:val="24"/>
                <w:highlight w:val="none"/>
                <w:lang w:bidi="ar"/>
              </w:rPr>
              <w:t>PVC直封边制作，钢架尺寸：横梁: 30*50*1.35 mm，桌腿： 30*60*1.5mm，上线扣板壁厚0.8mm采用满焊焊接，经高温粉体烤漆，长时间使用也不会产生表面漆剥落现象；</w:t>
            </w:r>
          </w:p>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4.功能：桌架配有接线槽，方便安装插座等。</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2</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张</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anchor distT="0" distB="0" distL="114300" distR="114300" simplePos="0" relativeHeight="251664384" behindDoc="0" locked="0" layoutInCell="1" allowOverlap="1">
                  <wp:simplePos x="0" y="0"/>
                  <wp:positionH relativeFrom="column">
                    <wp:posOffset>-12700</wp:posOffset>
                  </wp:positionH>
                  <wp:positionV relativeFrom="paragraph">
                    <wp:posOffset>509905</wp:posOffset>
                  </wp:positionV>
                  <wp:extent cx="905510" cy="452120"/>
                  <wp:effectExtent l="0" t="0" r="8890" b="5080"/>
                  <wp:wrapNone/>
                  <wp:docPr id="48" name="图片_78"/>
                  <wp:cNvGraphicFramePr/>
                  <a:graphic xmlns:a="http://schemas.openxmlformats.org/drawingml/2006/main">
                    <a:graphicData uri="http://schemas.openxmlformats.org/drawingml/2006/picture">
                      <pic:pic xmlns:pic="http://schemas.openxmlformats.org/drawingml/2006/picture">
                        <pic:nvPicPr>
                          <pic:cNvPr id="48" name="图片_78"/>
                          <pic:cNvPicPr/>
                        </pic:nvPicPr>
                        <pic:blipFill>
                          <a:blip r:embed="rId34"/>
                          <a:stretch>
                            <a:fillRect/>
                          </a:stretch>
                        </pic:blipFill>
                        <pic:spPr>
                          <a:xfrm>
                            <a:off x="0" y="0"/>
                            <a:ext cx="905510" cy="452120"/>
                          </a:xfrm>
                          <a:prstGeom prst="rect">
                            <a:avLst/>
                          </a:prstGeom>
                          <a:noFill/>
                          <a:ln>
                            <a:noFill/>
                          </a:ln>
                        </pic:spPr>
                      </pic:pic>
                    </a:graphicData>
                  </a:graphic>
                </wp:anchor>
              </w:drawing>
            </w:r>
          </w:p>
        </w:tc>
        <w:tc>
          <w:tcPr>
            <w:tcW w:w="0" w:type="auto"/>
            <w:shd w:val="clear" w:color="auto" w:fill="auto"/>
            <w:noWrap/>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88"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2</w:t>
            </w:r>
          </w:p>
        </w:tc>
        <w:tc>
          <w:tcPr>
            <w:tcW w:w="1176" w:type="dxa"/>
            <w:shd w:val="clear" w:color="auto" w:fill="auto"/>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带扶手椅</w:t>
            </w:r>
          </w:p>
        </w:tc>
        <w:tc>
          <w:tcPr>
            <w:tcW w:w="9863"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1.尺寸：530*580*780</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±10mm），坐高440</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2.材质：钢管+PP+ABS</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3.工艺：扶手采用ABS，PA一体注塑成型，</w:t>
            </w:r>
            <w:r>
              <w:rPr>
                <w:rFonts w:hint="eastAsia" w:ascii="宋体" w:hAnsi="宋体" w:cs="宋体"/>
                <w:color w:val="auto"/>
                <w:kern w:val="0"/>
                <w:sz w:val="24"/>
                <w:szCs w:val="24"/>
                <w:highlight w:val="none"/>
                <w:lang w:bidi="ar"/>
              </w:rPr>
              <w:t>扶手尺寸210*51*35mm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w:t>
            </w:r>
            <w:r>
              <w:rPr>
                <w:rFonts w:ascii="宋体" w:hAnsi="宋体" w:cs="宋体"/>
                <w:color w:val="auto"/>
                <w:kern w:val="0"/>
                <w:sz w:val="24"/>
                <w:szCs w:val="24"/>
                <w:highlight w:val="none"/>
                <w:lang w:bidi="ar"/>
              </w:rPr>
              <w:t>5</w:t>
            </w:r>
            <w:r>
              <w:rPr>
                <w:rFonts w:hint="eastAsia" w:ascii="宋体" w:hAnsi="宋体" w:cs="宋体"/>
                <w:color w:val="auto"/>
                <w:kern w:val="0"/>
                <w:sz w:val="24"/>
                <w:szCs w:val="24"/>
                <w:highlight w:val="none"/>
                <w:lang w:bidi="ar"/>
              </w:rPr>
              <w:t>mm）</w:t>
            </w:r>
            <w:r>
              <w:rPr>
                <w:rFonts w:hint="eastAsia" w:ascii="宋体" w:hAnsi="宋体" w:cs="宋体"/>
                <w:color w:val="auto"/>
                <w:kern w:val="0"/>
                <w:sz w:val="24"/>
                <w:szCs w:val="24"/>
                <w:highlight w:val="none"/>
                <w:lang w:bidi="ar"/>
              </w:rPr>
              <w:t>，坐垫靠背采用PP耐冲击塑料一体注塑成型。靠背尺寸：415*330mm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±10mm）;坐垫尺寸：450*410mm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±10mm）；坐垫下装有PP盖板。靠背后须有ABS装饰盖，外部看不到固定件。</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4.钢架：脚架采用直径22*1.5mm钢管，靠背支撑架采用直径12mm</w:t>
            </w:r>
            <w:r>
              <w:rPr>
                <w:rStyle w:val="17"/>
                <w:rFonts w:hint="default"/>
                <w:color w:val="auto"/>
                <w:sz w:val="24"/>
                <w:szCs w:val="24"/>
                <w:highlight w:val="none"/>
                <w:lang w:bidi="ar"/>
              </w:rPr>
              <w:t>允许±1mm</w:t>
            </w:r>
            <w:r>
              <w:rPr>
                <w:rFonts w:hint="eastAsia" w:ascii="宋体" w:hAnsi="宋体" w:cs="宋体"/>
                <w:color w:val="auto"/>
                <w:kern w:val="0"/>
                <w:sz w:val="24"/>
                <w:szCs w:val="24"/>
                <w:highlight w:val="none"/>
                <w:lang w:bidi="ar"/>
              </w:rPr>
              <w:t>钢筋，钢架焊接完成后，经高温粉体烤漆，长时间使用不会生锈脱漆。</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5.脚垫：(1.)材质：采用PA塑料，底部配备TPE防滑软垫。</w:t>
            </w:r>
          </w:p>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 xml:space="preserve">        （2.）尺寸：上直径22mm*下直径19*高</w:t>
            </w:r>
            <w:r>
              <w:rPr>
                <w:rStyle w:val="18"/>
                <w:rFonts w:hint="default" w:ascii="宋体" w:hAnsi="宋体" w:eastAsia="宋体" w:cs="宋体"/>
                <w:color w:val="auto"/>
                <w:sz w:val="24"/>
                <w:szCs w:val="24"/>
                <w:highlight w:val="none"/>
                <w:lang w:bidi="ar"/>
              </w:rPr>
              <w:t>60mm</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±1mm</w:t>
            </w:r>
            <w:r>
              <w:rPr>
                <w:rFonts w:hint="eastAsia" w:ascii="宋体" w:hAnsi="宋体" w:cs="宋体"/>
                <w:color w:val="auto"/>
                <w:kern w:val="0"/>
                <w:sz w:val="24"/>
                <w:szCs w:val="24"/>
                <w:highlight w:val="none"/>
                <w:lang w:eastAsia="zh-CN" w:bidi="ar"/>
              </w:rPr>
              <w:t>）</w:t>
            </w:r>
            <w:r>
              <w:rPr>
                <w:rFonts w:hint="eastAsia" w:ascii="宋体" w:hAnsi="宋体" w:cs="宋体"/>
                <w:color w:val="auto"/>
                <w:kern w:val="0"/>
                <w:sz w:val="24"/>
                <w:szCs w:val="24"/>
                <w:highlight w:val="none"/>
                <w:lang w:bidi="ar"/>
              </w:rPr>
              <w:t>。</w:t>
            </w:r>
          </w:p>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6.</w:t>
            </w:r>
            <w:r>
              <w:rPr>
                <w:rStyle w:val="17"/>
                <w:rFonts w:hint="default"/>
                <w:color w:val="auto"/>
                <w:sz w:val="24"/>
                <w:szCs w:val="24"/>
                <w:highlight w:val="none"/>
                <w:lang w:bidi="ar"/>
              </w:rPr>
              <w:t>功能：背部有折弯钢板挂钩，挂钩采用厚≥2.5mm钢板焊接于靠背支撑架上，便于悬挂书包、水杯。焊接固定件外部卡上ABS装饰盖，安全美观。</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4</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张</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bdr w:val="single" w:color="000000" w:sz="4" w:space="0"/>
              </w:rPr>
              <w:drawing>
                <wp:inline distT="0" distB="0" distL="114300" distR="114300">
                  <wp:extent cx="668020" cy="646430"/>
                  <wp:effectExtent l="0" t="0" r="2540" b="8890"/>
                  <wp:docPr id="3" name="图片 3" descr="1716028055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716028055787"/>
                          <pic:cNvPicPr>
                            <a:picLocks noChangeAspect="1"/>
                          </pic:cNvPicPr>
                        </pic:nvPicPr>
                        <pic:blipFill>
                          <a:blip r:embed="rId35"/>
                          <a:stretch>
                            <a:fillRect/>
                          </a:stretch>
                        </pic:blipFill>
                        <pic:spPr>
                          <a:xfrm>
                            <a:off x="0" y="0"/>
                            <a:ext cx="668020" cy="646430"/>
                          </a:xfrm>
                          <a:prstGeom prst="rect">
                            <a:avLst/>
                          </a:prstGeom>
                        </pic:spPr>
                      </pic:pic>
                    </a:graphicData>
                  </a:graphic>
                </wp:inline>
              </w:drawing>
            </w:r>
            <w:r>
              <w:rPr>
                <w:rFonts w:hint="eastAsia" w:ascii="宋体" w:hAnsi="宋体" w:cs="宋体"/>
                <w:color w:val="auto"/>
                <w:kern w:val="0"/>
                <w:sz w:val="24"/>
                <w:szCs w:val="24"/>
                <w:highlight w:val="none"/>
                <w:bdr w:val="single" w:color="000000" w:sz="4" w:space="0"/>
              </w:rPr>
              <w:drawing>
                <wp:anchor distT="0" distB="0" distL="114300" distR="114300" simplePos="0" relativeHeight="251665408" behindDoc="0" locked="0" layoutInCell="1" allowOverlap="1">
                  <wp:simplePos x="0" y="0"/>
                  <wp:positionH relativeFrom="column">
                    <wp:posOffset>152400</wp:posOffset>
                  </wp:positionH>
                  <wp:positionV relativeFrom="paragraph">
                    <wp:posOffset>2618105</wp:posOffset>
                  </wp:positionV>
                  <wp:extent cx="447040" cy="694055"/>
                  <wp:effectExtent l="0" t="0" r="10160" b="6985"/>
                  <wp:wrapNone/>
                  <wp:docPr id="50" name="图片_9"/>
                  <wp:cNvGraphicFramePr/>
                  <a:graphic xmlns:a="http://schemas.openxmlformats.org/drawingml/2006/main">
                    <a:graphicData uri="http://schemas.openxmlformats.org/drawingml/2006/picture">
                      <pic:pic xmlns:pic="http://schemas.openxmlformats.org/drawingml/2006/picture">
                        <pic:nvPicPr>
                          <pic:cNvPr id="50" name="图片_9"/>
                          <pic:cNvPicPr/>
                        </pic:nvPicPr>
                        <pic:blipFill>
                          <a:blip r:embed="rId36"/>
                          <a:stretch>
                            <a:fillRect/>
                          </a:stretch>
                        </pic:blipFill>
                        <pic:spPr>
                          <a:xfrm>
                            <a:off x="0" y="0"/>
                            <a:ext cx="447040" cy="694055"/>
                          </a:xfrm>
                          <a:prstGeom prst="rect">
                            <a:avLst/>
                          </a:prstGeom>
                          <a:noFill/>
                          <a:ln>
                            <a:noFill/>
                          </a:ln>
                        </pic:spPr>
                      </pic:pic>
                    </a:graphicData>
                  </a:graphic>
                </wp:anchor>
              </w:drawing>
            </w:r>
          </w:p>
        </w:tc>
        <w:tc>
          <w:tcPr>
            <w:tcW w:w="0" w:type="auto"/>
            <w:shd w:val="clear" w:color="auto" w:fill="auto"/>
            <w:noWrap/>
            <w:vAlign w:val="center"/>
          </w:tcPr>
          <w:p>
            <w:pPr>
              <w:jc w:val="center"/>
              <w:rPr>
                <w:rFonts w:ascii="宋体" w:hAnsi="宋体" w:cs="宋体"/>
                <w:color w:val="auto"/>
                <w:sz w:val="24"/>
                <w:szCs w:val="24"/>
                <w:highlight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4</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书柜</w:t>
            </w:r>
          </w:p>
        </w:tc>
        <w:tc>
          <w:tcPr>
            <w:tcW w:w="9863" w:type="dxa"/>
            <w:shd w:val="clear" w:color="auto" w:fill="auto"/>
            <w:vAlign w:val="center"/>
          </w:tcPr>
          <w:p>
            <w:pPr>
              <w:widowControl/>
              <w:jc w:val="left"/>
              <w:textAlignment w:val="center"/>
              <w:rPr>
                <w:rFonts w:ascii="宋体" w:hAnsi="宋体" w:cs="宋体"/>
                <w:color w:val="auto"/>
                <w:kern w:val="0"/>
                <w:sz w:val="24"/>
                <w:szCs w:val="24"/>
                <w:highlight w:val="none"/>
                <w:lang w:bidi="ar"/>
              </w:rPr>
            </w:pPr>
            <w:r>
              <w:rPr>
                <w:rFonts w:hint="eastAsia" w:ascii="宋体" w:hAnsi="宋体" w:cs="宋体"/>
                <w:color w:val="auto"/>
                <w:kern w:val="0"/>
                <w:sz w:val="24"/>
                <w:szCs w:val="24"/>
                <w:highlight w:val="none"/>
                <w:lang w:bidi="ar"/>
              </w:rPr>
              <w:t>1.尺寸：1200*400*2000</w:t>
            </w:r>
            <w:r>
              <w:rPr>
                <w:rFonts w:hint="eastAsia" w:ascii="宋体" w:hAnsi="宋体" w:cs="宋体"/>
                <w:color w:val="auto"/>
                <w:kern w:val="0"/>
                <w:sz w:val="24"/>
                <w:szCs w:val="24"/>
                <w:highlight w:val="none"/>
                <w:lang w:bidi="ar"/>
              </w:rPr>
              <w:t>(允许</w:t>
            </w:r>
            <w:r>
              <w:rPr>
                <w:rFonts w:hint="eastAsia" w:ascii="宋体" w:hAnsi="宋体" w:cs="宋体"/>
                <w:color w:val="auto"/>
                <w:kern w:val="0"/>
                <w:sz w:val="24"/>
                <w:szCs w:val="24"/>
                <w:highlight w:val="none"/>
                <w:lang w:bidi="ar"/>
              </w:rPr>
              <w:t>±10mm）</w:t>
            </w:r>
          </w:p>
          <w:p>
            <w:pPr>
              <w:widowControl/>
              <w:jc w:val="left"/>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2.材质：采用国家标准E1级板，厚度≥18mm,</w:t>
            </w:r>
            <w:r>
              <w:rPr>
                <w:rFonts w:hint="eastAsia" w:ascii="宋体" w:hAnsi="宋体" w:cs="宋体"/>
                <w:color w:val="auto"/>
                <w:kern w:val="0"/>
                <w:sz w:val="24"/>
                <w:szCs w:val="24"/>
                <w:highlight w:val="none"/>
                <w:lang w:bidi="ar"/>
              </w:rPr>
              <w:t>基材采用颗粒板，面贴三聚氰胺纸，</w:t>
            </w:r>
            <w:r>
              <w:rPr>
                <w:rFonts w:hint="eastAsia" w:ascii="宋体" w:hAnsi="宋体" w:cs="宋体"/>
                <w:color w:val="auto"/>
                <w:kern w:val="0"/>
                <w:sz w:val="24"/>
                <w:szCs w:val="24"/>
                <w:highlight w:val="none"/>
                <w:lang w:bidi="ar"/>
              </w:rPr>
              <w:t>ABS封边制作。玻璃采用5mm高清灰玻。</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2</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r>
              <w:rPr>
                <w:rFonts w:hint="eastAsia" w:ascii="宋体" w:hAnsi="宋体" w:cs="宋体"/>
                <w:color w:val="auto"/>
                <w:kern w:val="0"/>
                <w:sz w:val="24"/>
                <w:szCs w:val="24"/>
                <w:highlight w:val="none"/>
                <w:lang w:bidi="ar"/>
              </w:rPr>
              <w:t>张</w:t>
            </w:r>
          </w:p>
        </w:tc>
        <w:tc>
          <w:tcPr>
            <w:tcW w:w="0" w:type="auto"/>
            <w:shd w:val="clear" w:color="auto" w:fill="auto"/>
            <w:noWrap/>
            <w:vAlign w:val="center"/>
          </w:tcPr>
          <w:p>
            <w:pPr>
              <w:widowControl/>
              <w:jc w:val="center"/>
              <w:textAlignment w:val="center"/>
              <w:rPr>
                <w:rFonts w:ascii="宋体" w:hAnsi="宋体" w:cs="宋体"/>
                <w:color w:val="auto"/>
                <w:sz w:val="24"/>
                <w:szCs w:val="24"/>
                <w:highlight w:val="none"/>
              </w:rPr>
            </w:pPr>
          </w:p>
        </w:tc>
        <w:tc>
          <w:tcPr>
            <w:tcW w:w="0" w:type="auto"/>
            <w:shd w:val="clear" w:color="auto" w:fill="auto"/>
            <w:noWrap/>
            <w:vAlign w:val="center"/>
          </w:tcPr>
          <w:p>
            <w:pPr>
              <w:jc w:val="center"/>
              <w:rPr>
                <w:rFonts w:ascii="宋体" w:hAnsi="宋体" w:cs="宋体"/>
                <w:color w:val="auto"/>
                <w:sz w:val="24"/>
                <w:szCs w:val="24"/>
                <w:highlight w:val="none"/>
              </w:rPr>
            </w:pPr>
          </w:p>
        </w:tc>
      </w:tr>
    </w:tbl>
    <w:p>
      <w:pPr>
        <w:spacing w:line="360" w:lineRule="auto"/>
        <w:ind w:right="28" w:firstLine="590" w:firstLineChars="245"/>
        <w:jc w:val="left"/>
        <w:rPr>
          <w:rFonts w:ascii="宋体" w:hAnsi="宋体" w:cs="Courier New"/>
          <w:b/>
          <w:color w:val="auto"/>
          <w:sz w:val="24"/>
          <w:szCs w:val="24"/>
          <w:highlight w:val="none"/>
        </w:rPr>
        <w:sectPr>
          <w:pgSz w:w="16838" w:h="11906" w:orient="landscape"/>
          <w:pgMar w:top="1134" w:right="851" w:bottom="851" w:left="851" w:header="567" w:footer="567" w:gutter="0"/>
          <w:cols w:space="720" w:num="1"/>
          <w:docGrid w:linePitch="312" w:charSpace="0"/>
        </w:sectPr>
      </w:pPr>
    </w:p>
    <w:p>
      <w:pPr>
        <w:tabs>
          <w:tab w:val="left" w:pos="5130"/>
        </w:tabs>
        <w:spacing w:line="360" w:lineRule="auto"/>
        <w:rPr>
          <w:rFonts w:ascii="宋体" w:hAnsi="宋体"/>
          <w:b/>
          <w:color w:val="auto"/>
          <w:sz w:val="24"/>
          <w:szCs w:val="24"/>
          <w:highlight w:val="none"/>
        </w:rPr>
      </w:pPr>
      <w:r>
        <w:rPr>
          <w:rFonts w:hint="eastAsia" w:ascii="宋体" w:hAnsi="宋体"/>
          <w:b/>
          <w:color w:val="auto"/>
          <w:sz w:val="24"/>
          <w:szCs w:val="24"/>
          <w:highlight w:val="none"/>
        </w:rPr>
        <w:t>注：</w:t>
      </w:r>
      <w:r>
        <w:rPr>
          <w:rFonts w:hint="eastAsia" w:ascii="宋体" w:hAnsi="宋体"/>
          <w:b/>
          <w:color w:val="auto"/>
          <w:sz w:val="24"/>
          <w:szCs w:val="24"/>
          <w:highlight w:val="none"/>
          <w:lang w:val="en-US" w:eastAsia="zh-CN"/>
        </w:rPr>
        <w:t>1、</w:t>
      </w:r>
      <w:r>
        <w:rPr>
          <w:rFonts w:hint="eastAsia" w:ascii="宋体" w:hAnsi="宋体"/>
          <w:b/>
          <w:color w:val="auto"/>
          <w:sz w:val="24"/>
          <w:szCs w:val="24"/>
          <w:highlight w:val="none"/>
        </w:rPr>
        <w:t>采购清单技术要求中</w:t>
      </w:r>
      <w:r>
        <w:rPr>
          <w:rFonts w:hint="eastAsia" w:ascii="宋体" w:hAnsi="宋体" w:cs="Courier New"/>
          <w:b/>
          <w:color w:val="auto"/>
          <w:sz w:val="24"/>
          <w:szCs w:val="24"/>
          <w:highlight w:val="none"/>
        </w:rPr>
        <w:t>产品有尺寸要求且未明确尺寸偏离值的，允许</w:t>
      </w:r>
      <w:r>
        <w:rPr>
          <w:rFonts w:hint="eastAsia" w:ascii="宋体" w:hAnsi="宋体"/>
          <w:b/>
          <w:color w:val="auto"/>
          <w:sz w:val="24"/>
          <w:szCs w:val="24"/>
          <w:highlight w:val="none"/>
        </w:rPr>
        <w:t>正负偏离</w:t>
      </w:r>
      <w:r>
        <w:rPr>
          <w:rFonts w:hint="eastAsia" w:ascii="宋体" w:hAnsi="宋体"/>
          <w:b/>
          <w:color w:val="auto"/>
          <w:sz w:val="24"/>
          <w:szCs w:val="24"/>
          <w:highlight w:val="none"/>
        </w:rPr>
        <w:t>5%</w:t>
      </w:r>
      <w:r>
        <w:rPr>
          <w:rFonts w:hint="eastAsia" w:ascii="宋体" w:hAnsi="宋体"/>
          <w:b/>
          <w:color w:val="auto"/>
          <w:sz w:val="24"/>
          <w:szCs w:val="24"/>
          <w:highlight w:val="none"/>
        </w:rPr>
        <w:t>以内（（有明确尺寸允许偏离值外）。</w:t>
      </w:r>
    </w:p>
    <w:p>
      <w:pPr>
        <w:tabs>
          <w:tab w:val="left" w:pos="5130"/>
        </w:tabs>
        <w:spacing w:line="360" w:lineRule="auto"/>
        <w:ind w:firstLine="482" w:firstLineChars="200"/>
        <w:rPr>
          <w:rFonts w:ascii="宋体" w:hAnsi="宋体" w:cs="宋体"/>
          <w:b/>
          <w:bCs/>
          <w:color w:val="auto"/>
          <w:sz w:val="24"/>
          <w:szCs w:val="24"/>
          <w:highlight w:val="none"/>
        </w:rPr>
      </w:pPr>
      <w:r>
        <w:rPr>
          <w:rFonts w:hint="eastAsia" w:ascii="宋体" w:hAnsi="宋体" w:cs="宋体"/>
          <w:b/>
          <w:bCs/>
          <w:color w:val="auto"/>
          <w:sz w:val="24"/>
          <w:szCs w:val="24"/>
          <w:highlight w:val="none"/>
        </w:rPr>
        <w:t>*</w:t>
      </w:r>
      <w:r>
        <w:rPr>
          <w:rFonts w:ascii="宋体" w:hAnsi="宋体" w:cs="宋体"/>
          <w:b/>
          <w:bCs/>
          <w:color w:val="auto"/>
          <w:sz w:val="24"/>
          <w:szCs w:val="24"/>
          <w:highlight w:val="none"/>
        </w:rPr>
        <w:t>2</w:t>
      </w:r>
      <w:r>
        <w:rPr>
          <w:rFonts w:hint="eastAsia" w:ascii="宋体" w:hAnsi="宋体" w:cs="宋体"/>
          <w:b/>
          <w:bCs/>
          <w:color w:val="auto"/>
          <w:sz w:val="24"/>
          <w:szCs w:val="24"/>
          <w:highlight w:val="none"/>
        </w:rPr>
        <w:t>、招标文件中涉及提供检测或检验报告复印件的，中标后，使用单位</w:t>
      </w:r>
      <w:r>
        <w:rPr>
          <w:rFonts w:hint="eastAsia" w:ascii="宋体" w:hAnsi="宋体" w:cs="宋体"/>
          <w:b/>
          <w:bCs/>
          <w:color w:val="auto"/>
          <w:sz w:val="24"/>
          <w:szCs w:val="24"/>
          <w:highlight w:val="none"/>
        </w:rPr>
        <w:t>若</w:t>
      </w:r>
      <w:r>
        <w:rPr>
          <w:rFonts w:hint="eastAsia" w:ascii="宋体" w:hAnsi="宋体" w:cs="宋体"/>
          <w:b/>
          <w:bCs/>
          <w:color w:val="auto"/>
          <w:sz w:val="24"/>
          <w:szCs w:val="24"/>
          <w:highlight w:val="none"/>
        </w:rPr>
        <w:t>要求中标供应商提供检测或检验报告原件予以核对，中标供应商应在3个工作日内提供检测或检验报告原件。如中标供应商无法提供检测或检验报告原件，或者发现中标供应商提供的检测或检验报告原件与复印件不一致，或者经查询发现检测或检验报告存在造假情形的，将取消中标供应商资格并列入不良行为记录，投标人应对此作出书面承诺并加盖单位公章。</w:t>
      </w:r>
    </w:p>
    <w:p>
      <w:pPr>
        <w:spacing w:line="360" w:lineRule="auto"/>
        <w:ind w:right="28"/>
        <w:jc w:val="left"/>
        <w:rPr>
          <w:rFonts w:ascii="宋体" w:hAnsi="宋体"/>
          <w:b/>
          <w:color w:val="auto"/>
          <w:sz w:val="24"/>
          <w:szCs w:val="24"/>
          <w:highlight w:val="none"/>
        </w:rPr>
      </w:pPr>
      <w:r>
        <w:rPr>
          <w:rFonts w:ascii="宋体" w:hAnsi="宋体"/>
          <w:b/>
          <w:color w:val="auto"/>
          <w:sz w:val="24"/>
          <w:szCs w:val="24"/>
          <w:highlight w:val="none"/>
        </w:rPr>
        <w:t>二、</w:t>
      </w:r>
      <w:r>
        <w:rPr>
          <w:rFonts w:hint="eastAsia" w:ascii="宋体" w:hAnsi="宋体"/>
          <w:b/>
          <w:color w:val="auto"/>
          <w:sz w:val="24"/>
          <w:szCs w:val="24"/>
          <w:highlight w:val="none"/>
        </w:rPr>
        <w:t>采购要求</w:t>
      </w:r>
    </w:p>
    <w:p>
      <w:pPr>
        <w:spacing w:line="360" w:lineRule="auto"/>
        <w:ind w:firstLine="480" w:firstLineChars="200"/>
        <w:rPr>
          <w:rFonts w:ascii="宋体" w:hAnsi="宋体"/>
          <w:bCs/>
          <w:color w:val="auto"/>
          <w:sz w:val="24"/>
          <w:szCs w:val="24"/>
          <w:highlight w:val="none"/>
        </w:rPr>
      </w:pPr>
      <w:r>
        <w:rPr>
          <w:rFonts w:hint="eastAsia" w:ascii="宋体" w:hAnsi="宋体"/>
          <w:bCs/>
          <w:color w:val="auto"/>
          <w:sz w:val="24"/>
          <w:szCs w:val="24"/>
          <w:highlight w:val="none"/>
        </w:rPr>
        <w:t>1．中标供应商生产前提供具体图纸供使用单位确认方可生产，价格不得调整。</w:t>
      </w:r>
    </w:p>
    <w:p>
      <w:pPr>
        <w:spacing w:line="360" w:lineRule="auto"/>
        <w:ind w:firstLine="480" w:firstLineChars="200"/>
        <w:rPr>
          <w:rFonts w:ascii="宋体" w:hAnsi="宋体"/>
          <w:bCs/>
          <w:color w:val="auto"/>
          <w:sz w:val="24"/>
          <w:szCs w:val="24"/>
          <w:highlight w:val="none"/>
        </w:rPr>
      </w:pPr>
      <w:r>
        <w:rPr>
          <w:rFonts w:hint="eastAsia" w:ascii="宋体" w:hAnsi="宋体"/>
          <w:bCs/>
          <w:color w:val="auto"/>
          <w:sz w:val="24"/>
          <w:szCs w:val="24"/>
          <w:highlight w:val="none"/>
        </w:rPr>
        <w:t>2．投标人应严格按照招标文件的规格、数量、技术及材质等要求进行报价。</w:t>
      </w:r>
    </w:p>
    <w:p>
      <w:pPr>
        <w:spacing w:line="360" w:lineRule="auto"/>
        <w:ind w:firstLine="480" w:firstLineChars="200"/>
        <w:rPr>
          <w:rFonts w:ascii="宋体" w:hAnsi="宋体"/>
          <w:bCs/>
          <w:color w:val="auto"/>
          <w:sz w:val="24"/>
          <w:szCs w:val="24"/>
          <w:highlight w:val="none"/>
        </w:rPr>
      </w:pPr>
      <w:r>
        <w:rPr>
          <w:rFonts w:hint="eastAsia" w:ascii="宋体" w:hAnsi="宋体"/>
          <w:bCs/>
          <w:color w:val="auto"/>
          <w:sz w:val="24"/>
          <w:szCs w:val="24"/>
          <w:highlight w:val="none"/>
        </w:rPr>
        <w:t>3．投标人应在投标文件中提供主要生产设备清单（需提供主要生产加工设备、产地、数量、价值）。</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4．投标人应在投标文件中提供质量管理、技术力量说明（主要生产技术骨干、质管人员的数量和职称）。</w:t>
      </w:r>
    </w:p>
    <w:p>
      <w:pPr>
        <w:pStyle w:val="11"/>
        <w:spacing w:before="0" w:beforeAutospacing="0" w:after="0" w:afterAutospacing="0" w:line="360" w:lineRule="auto"/>
        <w:ind w:firstLine="480" w:firstLineChars="200"/>
        <w:rPr>
          <w:rFonts w:cs="Times New Roman"/>
          <w:color w:val="auto"/>
          <w:kern w:val="2"/>
          <w:highlight w:val="none"/>
        </w:rPr>
      </w:pPr>
      <w:r>
        <w:rPr>
          <w:rFonts w:hint="eastAsia" w:cs="Times New Roman"/>
          <w:color w:val="auto"/>
          <w:kern w:val="2"/>
          <w:highlight w:val="none"/>
        </w:rPr>
        <w:t>5．投标人应根据国家标准(GB/T3324-2008木家具通用技术条件、GB/T3325-2008金属家具通用技术条件、GB 18584-2008木家具中有害物质限量、GB18583—2008 胶粘剂（溶剂型）中有害物质限量、GB18580—2001 人造板及其制品中甲醛释放限量、GB18581—2009 溶剂型木器涂料中有害物质限量、GB18582—2008 内墙涂料中有害物质限量、GB5296.6—2008 消费品使用说明（第6 部分家具）)、部颁标准(QB/T1951.1-2010 木家具、QB/T1951.2-2013 金属家具、QB/T1952.1-2012 软体家具沙发、QB/T2530-2011 木制柜）、人造木质板材执行标准：HBC17－2003、家具执行标准：HJ/T3030-2006、水性涂料执行标准：HJ/T 201─2005、胶粘剂执行标准：HJ/T 220-2005、其他国家及行业标准制作（上述标准若有更新，则以更新后的国家和部门标准执行），并在设计方案中详细说明家具的材料构成及辅材、配件(如材质、质量标准、厚度、产地、品牌、型号等)。</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6．投标人需在投标文件中提供上述货物的实物图、效果图、生产分解图、货物选用材料的说明文件。</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7．投标人需将以上货物的参考指标与所投货物的技术指标、参数，在投标文件中分别列出，一一对应。</w:t>
      </w:r>
    </w:p>
    <w:p>
      <w:pPr>
        <w:spacing w:line="360" w:lineRule="auto"/>
        <w:ind w:right="-63" w:rightChars="-30"/>
        <w:rPr>
          <w:rFonts w:ascii="宋体" w:hAnsi="宋体"/>
          <w:b/>
          <w:color w:val="auto"/>
          <w:sz w:val="24"/>
          <w:szCs w:val="24"/>
          <w:highlight w:val="none"/>
        </w:rPr>
      </w:pPr>
      <w:r>
        <w:rPr>
          <w:rFonts w:hint="eastAsia" w:ascii="宋体" w:hAnsi="宋体"/>
          <w:b/>
          <w:color w:val="auto"/>
          <w:sz w:val="24"/>
          <w:szCs w:val="24"/>
          <w:highlight w:val="none"/>
        </w:rPr>
        <w:t>三、投标人资格要求</w:t>
      </w:r>
    </w:p>
    <w:p>
      <w:pPr>
        <w:pStyle w:val="11"/>
        <w:shd w:val="clear" w:color="auto" w:fill="FFFFFF"/>
        <w:spacing w:before="0" w:beforeAutospacing="0" w:after="0" w:afterAutospacing="0" w:line="360" w:lineRule="auto"/>
        <w:ind w:firstLine="482" w:firstLineChars="200"/>
        <w:rPr>
          <w:b/>
          <w:color w:val="auto"/>
          <w:highlight w:val="none"/>
        </w:rPr>
      </w:pPr>
      <w:r>
        <w:rPr>
          <w:rFonts w:hint="eastAsia"/>
          <w:b/>
          <w:color w:val="auto"/>
          <w:highlight w:val="none"/>
        </w:rPr>
        <w:t>*1.投标人应提供工商营业执照（副本）的复印件。</w:t>
      </w:r>
    </w:p>
    <w:p>
      <w:pPr>
        <w:pStyle w:val="11"/>
        <w:shd w:val="clear" w:color="auto" w:fill="FFFFFF"/>
        <w:spacing w:before="0" w:beforeAutospacing="0" w:after="0" w:afterAutospacing="0" w:line="360" w:lineRule="auto"/>
        <w:ind w:firstLine="482" w:firstLineChars="200"/>
        <w:rPr>
          <w:b/>
          <w:color w:val="auto"/>
          <w:highlight w:val="none"/>
        </w:rPr>
      </w:pPr>
      <w:r>
        <w:rPr>
          <w:rFonts w:hint="eastAsia"/>
          <w:b/>
          <w:color w:val="auto"/>
          <w:highlight w:val="none"/>
        </w:rPr>
        <w:t>*2.投标人全权代表若不是单位负责人，应提供单位授权书原件，并提供被授权代表身份证复印件。</w:t>
      </w:r>
    </w:p>
    <w:p>
      <w:pPr>
        <w:pStyle w:val="11"/>
        <w:shd w:val="clear" w:color="auto" w:fill="FFFFFF"/>
        <w:spacing w:before="0" w:beforeAutospacing="0" w:after="0" w:afterAutospacing="0" w:line="360" w:lineRule="auto"/>
        <w:rPr>
          <w:b/>
          <w:color w:val="auto"/>
          <w:highlight w:val="none"/>
        </w:rPr>
      </w:pPr>
      <w:r>
        <w:rPr>
          <w:rFonts w:hint="eastAsia"/>
          <w:b/>
          <w:color w:val="auto"/>
          <w:highlight w:val="none"/>
        </w:rPr>
        <w:t>四、商务响应要求</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投标人应在投标文件中提供最近三年来在中国，同类家具项目的合同业绩证明材料（提供项目中标公告或中标通知书及合同复印件，加盖单位公章），需提供项目名称、合同金额、中标日期、联系人、用户评价。</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2.投标人应在投标文件中提供近三年以来地级市以上质量检测单位出具的成品抽样检测报告。</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3.投标人应在投标文件中提供生产合同管理计划保证书一份。</w:t>
      </w:r>
    </w:p>
    <w:p>
      <w:pPr>
        <w:spacing w:line="360" w:lineRule="auto"/>
        <w:ind w:left="-178" w:leftChars="-85" w:right="359" w:rightChars="171" w:firstLine="361" w:firstLineChars="150"/>
        <w:rPr>
          <w:rFonts w:ascii="宋体" w:hAnsi="宋体"/>
          <w:b/>
          <w:color w:val="auto"/>
          <w:sz w:val="24"/>
          <w:szCs w:val="24"/>
          <w:highlight w:val="none"/>
        </w:rPr>
      </w:pPr>
      <w:r>
        <w:rPr>
          <w:rFonts w:hint="eastAsia" w:ascii="宋体" w:hAnsi="宋体"/>
          <w:b/>
          <w:color w:val="auto"/>
          <w:sz w:val="24"/>
          <w:szCs w:val="24"/>
          <w:highlight w:val="none"/>
        </w:rPr>
        <w:t>五、货物质量标准、验收标准</w:t>
      </w:r>
    </w:p>
    <w:p>
      <w:pPr>
        <w:pStyle w:val="6"/>
        <w:spacing w:after="0" w:line="360" w:lineRule="auto"/>
        <w:ind w:left="0" w:leftChars="0" w:firstLine="480" w:firstLineChars="200"/>
        <w:rPr>
          <w:rFonts w:ascii="宋体" w:hAnsi="宋体"/>
          <w:color w:val="auto"/>
          <w:sz w:val="24"/>
          <w:highlight w:val="none"/>
        </w:rPr>
      </w:pPr>
      <w:r>
        <w:rPr>
          <w:rFonts w:hint="eastAsia" w:ascii="宋体" w:hAnsi="宋体"/>
          <w:color w:val="auto"/>
          <w:sz w:val="24"/>
          <w:highlight w:val="none"/>
        </w:rPr>
        <w:t>1．投标人提供货物的制造标准、安装标准、验收标准及技术规范等有关资料应符合国家规定的有关标准、规范要求。</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2．投标人应保证提供原产、全新、正宗品牌货物，不得用伪劣货物替代；如出现上述质量问题采购单位有权退货并解除合同。</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3．在生产过程或验收过程中发现中标供应商对中标货物进行分包、转包，采购单位有权单方解除合同并有权拒付全部货款，所有中标产品须有中标供应商的注册商标。</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4．货物安装所需的配件或附加件，在合同签订前由中标供应商提交具体清单给</w:t>
      </w:r>
      <w:r>
        <w:rPr>
          <w:rFonts w:hint="eastAsia" w:ascii="宋体" w:hAnsi="宋体"/>
          <w:bCs/>
          <w:color w:val="auto"/>
          <w:sz w:val="24"/>
          <w:szCs w:val="24"/>
          <w:highlight w:val="none"/>
        </w:rPr>
        <w:t>使用</w:t>
      </w:r>
      <w:r>
        <w:rPr>
          <w:rFonts w:hint="eastAsia" w:ascii="宋体" w:hAnsi="宋体"/>
          <w:color w:val="auto"/>
          <w:sz w:val="24"/>
          <w:szCs w:val="24"/>
          <w:highlight w:val="none"/>
        </w:rPr>
        <w:t>单位确认。</w:t>
      </w:r>
    </w:p>
    <w:p>
      <w:pPr>
        <w:spacing w:line="360" w:lineRule="auto"/>
        <w:ind w:firstLine="482" w:firstLineChars="200"/>
        <w:rPr>
          <w:rFonts w:ascii="宋体" w:hAnsi="宋体"/>
          <w:b/>
          <w:color w:val="auto"/>
          <w:sz w:val="24"/>
          <w:szCs w:val="24"/>
          <w:highlight w:val="none"/>
        </w:rPr>
      </w:pPr>
      <w:r>
        <w:rPr>
          <w:rFonts w:ascii="宋体" w:hAnsi="宋体"/>
          <w:b/>
          <w:color w:val="auto"/>
          <w:sz w:val="24"/>
          <w:szCs w:val="24"/>
          <w:highlight w:val="none"/>
        </w:rPr>
        <w:t>5.投标人必须在投标文件中书面承诺：中标后生产前，向使用单位确定所供货物的相关事项，经使用单位确认是否增减后方可投入生产。否则，由此产生的一切后果由中标供应商负责。</w:t>
      </w:r>
    </w:p>
    <w:p>
      <w:pPr>
        <w:pStyle w:val="7"/>
        <w:spacing w:line="360" w:lineRule="auto"/>
        <w:ind w:firstLine="480" w:firstLineChars="200"/>
        <w:rPr>
          <w:rFonts w:hAnsi="宋体"/>
          <w:color w:val="auto"/>
          <w:sz w:val="24"/>
          <w:szCs w:val="24"/>
          <w:highlight w:val="none"/>
        </w:rPr>
      </w:pPr>
      <w:r>
        <w:rPr>
          <w:rFonts w:hint="eastAsia" w:hAnsi="宋体"/>
          <w:color w:val="auto"/>
          <w:sz w:val="24"/>
          <w:szCs w:val="24"/>
          <w:highlight w:val="none"/>
        </w:rPr>
        <w:t>6、货物初验：货物运抵采购单位指定地点后由</w:t>
      </w:r>
      <w:r>
        <w:rPr>
          <w:rFonts w:hint="eastAsia" w:hAnsi="宋体"/>
          <w:bCs/>
          <w:color w:val="auto"/>
          <w:sz w:val="24"/>
          <w:szCs w:val="24"/>
          <w:highlight w:val="none"/>
        </w:rPr>
        <w:t>使用</w:t>
      </w:r>
      <w:r>
        <w:rPr>
          <w:rFonts w:hint="eastAsia" w:hAnsi="宋体"/>
          <w:color w:val="auto"/>
          <w:sz w:val="24"/>
          <w:szCs w:val="24"/>
          <w:highlight w:val="none"/>
        </w:rPr>
        <w:t>单位对照采购清单对外观、包装及数量进行验收。到货初验时，中标供应商代表必须在场。同时，中标供应商必须提供货物的相关手续（品牌证书、装箱清单含货物的主附件、原产地证明书、品质保证书、出厂检验报告、合格证书、使用及维护说明书）。每件产品必须说明材质、规格、涂料、粘合剂等及是否含有毒、有害物质等情况。</w:t>
      </w:r>
    </w:p>
    <w:p>
      <w:pPr>
        <w:pStyle w:val="7"/>
        <w:tabs>
          <w:tab w:val="left" w:pos="540"/>
        </w:tabs>
        <w:spacing w:line="360" w:lineRule="auto"/>
        <w:ind w:firstLine="480" w:firstLineChars="200"/>
        <w:rPr>
          <w:rFonts w:hAnsi="宋体"/>
          <w:color w:val="auto"/>
          <w:sz w:val="24"/>
          <w:szCs w:val="24"/>
          <w:highlight w:val="none"/>
        </w:rPr>
      </w:pPr>
      <w:r>
        <w:rPr>
          <w:rFonts w:hint="eastAsia" w:hAnsi="宋体"/>
          <w:color w:val="auto"/>
          <w:sz w:val="24"/>
          <w:szCs w:val="24"/>
          <w:highlight w:val="none"/>
        </w:rPr>
        <w:t>7.最终验收：中标供应商负责现场安装、调试，待性能指标经验收合格后（附验收报告），中标供应商应与采购单位共同签署《厦门市政府采购验收报告》。</w:t>
      </w:r>
    </w:p>
    <w:p>
      <w:pPr>
        <w:spacing w:line="360" w:lineRule="auto"/>
        <w:ind w:firstLine="482" w:firstLineChars="200"/>
        <w:rPr>
          <w:rFonts w:ascii="宋体" w:hAnsi="宋体"/>
          <w:b/>
          <w:color w:val="auto"/>
          <w:sz w:val="24"/>
          <w:szCs w:val="24"/>
          <w:highlight w:val="none"/>
        </w:rPr>
      </w:pPr>
      <w:r>
        <w:rPr>
          <w:rFonts w:ascii="宋体" w:hAnsi="宋体"/>
          <w:b/>
          <w:color w:val="auto"/>
          <w:sz w:val="24"/>
          <w:szCs w:val="24"/>
          <w:highlight w:val="none"/>
        </w:rPr>
        <w:t>8.投标人必须在投标文件中书面承诺：一旦中标，在生产本次采购家具的过程中，邀请使用单位代表到工厂对产品从进料、开胚、上漆、成型等一系列生产程序进行检查、监督；使用单位根据合同进度可以采用书面函件形式要求投标人对生产情况合理改进，投标人应予书面答复，并制定完整的整改措施。</w:t>
      </w:r>
    </w:p>
    <w:p>
      <w:pPr>
        <w:pStyle w:val="7"/>
        <w:spacing w:line="360" w:lineRule="auto"/>
        <w:ind w:firstLine="480" w:firstLineChars="200"/>
        <w:rPr>
          <w:rFonts w:hAnsi="宋体"/>
          <w:color w:val="auto"/>
          <w:sz w:val="24"/>
          <w:szCs w:val="24"/>
          <w:highlight w:val="none"/>
        </w:rPr>
      </w:pPr>
      <w:r>
        <w:rPr>
          <w:rFonts w:hint="eastAsia" w:hAnsi="宋体"/>
          <w:color w:val="auto"/>
          <w:sz w:val="24"/>
          <w:szCs w:val="24"/>
          <w:highlight w:val="none"/>
        </w:rPr>
        <w:t>9.投标人不得虚报各项技术指标，中标产品若不能符合技术要求、招标文件及合同约定的，采购单位有权退货并单方解除合同，中标供应商除退还所有的货款外，还应向支付合同总价50%的违约金。</w:t>
      </w:r>
    </w:p>
    <w:p>
      <w:pPr>
        <w:spacing w:line="360" w:lineRule="auto"/>
        <w:ind w:firstLine="482" w:firstLineChars="200"/>
        <w:rPr>
          <w:rFonts w:ascii="宋体" w:hAnsi="宋体" w:cs="宋体"/>
          <w:b/>
          <w:color w:val="auto"/>
          <w:sz w:val="24"/>
          <w:szCs w:val="24"/>
          <w:highlight w:val="none"/>
        </w:rPr>
      </w:pPr>
      <w:r>
        <w:rPr>
          <w:rFonts w:hint="eastAsia" w:ascii="宋体" w:hAnsi="宋体"/>
          <w:b/>
          <w:color w:val="auto"/>
          <w:sz w:val="24"/>
          <w:szCs w:val="24"/>
          <w:highlight w:val="none"/>
        </w:rPr>
        <w:t>10.投标人必须在投标文件中书面承诺：一旦中标，</w:t>
      </w:r>
      <w:r>
        <w:rPr>
          <w:rFonts w:hint="eastAsia" w:ascii="宋体" w:hAnsi="宋体" w:cs="宋体"/>
          <w:b/>
          <w:color w:val="auto"/>
          <w:sz w:val="24"/>
          <w:szCs w:val="24"/>
          <w:highlight w:val="none"/>
        </w:rPr>
        <w:t>在保证按采购文件中要求提供的产品数量进行供货外，还应保证能够免费提供足够的样品供使用单位邀请相关部门对其在封闭式的环境中进行开放性的检测；如经检测家具环保等指标达不到国家以及采购文件中的要求，报价人应按中标价的2倍金额赔偿给采购单位。</w:t>
      </w:r>
    </w:p>
    <w:p>
      <w:pPr>
        <w:spacing w:line="360" w:lineRule="auto"/>
        <w:rPr>
          <w:rFonts w:ascii="宋体" w:hAnsi="宋体"/>
          <w:b/>
          <w:color w:val="auto"/>
          <w:sz w:val="24"/>
          <w:szCs w:val="24"/>
          <w:highlight w:val="none"/>
        </w:rPr>
      </w:pPr>
      <w:r>
        <w:rPr>
          <w:rFonts w:hint="eastAsia" w:ascii="宋体" w:hAnsi="宋体"/>
          <w:b/>
          <w:color w:val="auto"/>
          <w:sz w:val="24"/>
          <w:szCs w:val="24"/>
          <w:highlight w:val="none"/>
        </w:rPr>
        <w:t>六、货物技术服务要求</w:t>
      </w:r>
    </w:p>
    <w:p>
      <w:pP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*1.投标人应在投标文件中提供质量保证期及售后服务方案承诺，并加盖单位公章。承诺至少应包含以下内容①所有货物质量保证期</w:t>
      </w:r>
      <w:r>
        <w:rPr>
          <w:rFonts w:hint="eastAsia" w:ascii="宋体" w:hAnsi="宋体"/>
          <w:b/>
          <w:color w:val="auto"/>
          <w:sz w:val="24"/>
          <w:szCs w:val="24"/>
          <w:highlight w:val="none"/>
        </w:rPr>
        <w:t>至少为5年</w:t>
      </w:r>
      <w:r>
        <w:rPr>
          <w:rFonts w:hint="eastAsia" w:ascii="宋体" w:hAnsi="宋体"/>
          <w:b/>
          <w:color w:val="auto"/>
          <w:sz w:val="24"/>
          <w:szCs w:val="24"/>
          <w:highlight w:val="none"/>
        </w:rPr>
        <w:t>，自最终验收合格之日起算；②所有货物如无特别指明售后服务要求, 投标人到现场的售后服务及技术支持响应时间不能超过2小时；小件货物的修复时间或更换时间不能超过2个小时，大件货物的修复时间或更换时间不能超过24个小时(从提出现场服务要求开始算起)。24小时内不能修复的须提供备用货物；③在质量保证期内，因质量问题而发生损坏或不能进行正常使用时，投标人应免费进行维修或更换；④在质量保证期内，安排至少两名专人与使用单位建立服务联系。</w:t>
      </w:r>
    </w:p>
    <w:p>
      <w:pPr>
        <w:pStyle w:val="7"/>
        <w:spacing w:line="360" w:lineRule="auto"/>
        <w:ind w:firstLine="480" w:firstLineChars="200"/>
        <w:rPr>
          <w:rFonts w:hAnsi="宋体"/>
          <w:color w:val="auto"/>
          <w:sz w:val="24"/>
          <w:szCs w:val="24"/>
          <w:highlight w:val="none"/>
        </w:rPr>
      </w:pPr>
      <w:r>
        <w:rPr>
          <w:rFonts w:hint="eastAsia" w:hAnsi="宋体"/>
          <w:color w:val="auto"/>
          <w:sz w:val="24"/>
          <w:szCs w:val="24"/>
          <w:highlight w:val="none"/>
        </w:rPr>
        <w:t>2.投标人应单独列出质保期后年维护费用（全包，包括零配件费用等包干计取，按总报价的百分之几报价）,待质保期过后按实际发生的维护情况由投标人提供相应的票据经采购单位确认后结算（结算金额不超过此项报价）。投标人应提供免费技术支持力度等情况。</w:t>
      </w:r>
    </w:p>
    <w:p>
      <w:pPr>
        <w:pStyle w:val="7"/>
        <w:spacing w:line="360" w:lineRule="auto"/>
        <w:ind w:firstLine="480" w:firstLineChars="200"/>
        <w:rPr>
          <w:rFonts w:hAnsi="宋体"/>
          <w:color w:val="auto"/>
          <w:sz w:val="24"/>
          <w:szCs w:val="24"/>
          <w:highlight w:val="none"/>
        </w:rPr>
      </w:pPr>
      <w:r>
        <w:rPr>
          <w:rFonts w:hint="eastAsia" w:hAnsi="宋体"/>
          <w:color w:val="auto"/>
          <w:sz w:val="24"/>
          <w:szCs w:val="24"/>
          <w:highlight w:val="none"/>
        </w:rPr>
        <w:t>3.投标人能长期提供良好的技术支持及备品备件的优惠供应。</w:t>
      </w:r>
    </w:p>
    <w:p>
      <w:pPr>
        <w:pStyle w:val="7"/>
        <w:spacing w:line="360" w:lineRule="auto"/>
        <w:ind w:firstLine="480" w:firstLineChars="200"/>
        <w:rPr>
          <w:rFonts w:hAnsi="宋体"/>
          <w:color w:val="auto"/>
          <w:sz w:val="24"/>
          <w:szCs w:val="24"/>
          <w:highlight w:val="none"/>
        </w:rPr>
      </w:pPr>
      <w:r>
        <w:rPr>
          <w:rFonts w:hint="eastAsia" w:hAnsi="宋体"/>
          <w:color w:val="auto"/>
          <w:sz w:val="24"/>
          <w:szCs w:val="24"/>
          <w:highlight w:val="none"/>
        </w:rPr>
        <w:t>4.投标人如有其它更好的售后服务应在方案中书面声明。</w:t>
      </w:r>
    </w:p>
    <w:p>
      <w:pPr>
        <w:spacing w:line="360" w:lineRule="auto"/>
        <w:ind w:right="359" w:rightChars="171"/>
        <w:rPr>
          <w:rFonts w:ascii="宋体" w:hAnsi="宋体"/>
          <w:b/>
          <w:color w:val="auto"/>
          <w:sz w:val="24"/>
          <w:szCs w:val="24"/>
          <w:highlight w:val="none"/>
        </w:rPr>
      </w:pPr>
      <w:r>
        <w:rPr>
          <w:rFonts w:hint="eastAsia" w:ascii="宋体" w:hAnsi="宋体"/>
          <w:b/>
          <w:color w:val="auto"/>
          <w:sz w:val="24"/>
          <w:szCs w:val="24"/>
          <w:highlight w:val="none"/>
        </w:rPr>
        <w:t>七、货物报价</w:t>
      </w:r>
    </w:p>
    <w:p>
      <w:pP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1.投标人须以人民币报价且总报价应含货物费、运至采购单位指定地点的运输费、保险费和伴随服务费（包括产品检验检测）、安装调试（包括安装所需的辅材、配件等）费用、税收及售后服务等可能产生的一切费用，报价方式为指定目的地价。</w:t>
      </w:r>
      <w:r>
        <w:rPr>
          <w:rFonts w:ascii="宋体" w:hAnsi="宋体"/>
          <w:b/>
          <w:color w:val="auto"/>
          <w:sz w:val="24"/>
          <w:szCs w:val="24"/>
          <w:highlight w:val="none"/>
        </w:rPr>
        <w:t>供应商可在分项报价表中详细列出报价，如果所列分项报价不含以上内容，以及缺、漏项的，则视为已含在总价中。</w:t>
      </w:r>
      <w:r>
        <w:rPr>
          <w:rFonts w:hint="eastAsia" w:ascii="宋体" w:hAnsi="宋体"/>
          <w:b/>
          <w:color w:val="auto"/>
          <w:sz w:val="24"/>
          <w:szCs w:val="24"/>
          <w:highlight w:val="none"/>
        </w:rPr>
        <w:t>采购单位不接受有选择的报价</w:t>
      </w:r>
      <w:r>
        <w:rPr>
          <w:rFonts w:ascii="宋体" w:hAnsi="宋体"/>
          <w:b/>
          <w:color w:val="auto"/>
          <w:sz w:val="24"/>
          <w:szCs w:val="24"/>
          <w:highlight w:val="none"/>
        </w:rPr>
        <w:t>。</w:t>
      </w:r>
    </w:p>
    <w:p>
      <w:pPr>
        <w:spacing w:line="360" w:lineRule="auto"/>
        <w:ind w:firstLine="482" w:firstLineChars="200"/>
        <w:rPr>
          <w:rFonts w:ascii="宋体" w:hAnsi="宋体"/>
          <w:b/>
          <w:color w:val="auto"/>
          <w:sz w:val="24"/>
          <w:szCs w:val="24"/>
          <w:highlight w:val="none"/>
        </w:rPr>
      </w:pPr>
      <w:r>
        <w:rPr>
          <w:rFonts w:hint="eastAsia" w:ascii="宋体" w:hAnsi="宋体"/>
          <w:b/>
          <w:color w:val="auto"/>
          <w:sz w:val="24"/>
          <w:szCs w:val="24"/>
          <w:highlight w:val="none"/>
        </w:rPr>
        <w:t>*2.本项目采购预算为人民币375万元，投标人的报价不得超过采购预算，否则将按无效投标处理。</w:t>
      </w:r>
    </w:p>
    <w:p>
      <w:pPr>
        <w:spacing w:line="360" w:lineRule="auto"/>
        <w:ind w:firstLine="498" w:firstLineChars="200"/>
        <w:rPr>
          <w:rFonts w:ascii="宋体" w:hAnsi="宋体"/>
          <w:b/>
          <w:color w:val="auto"/>
          <w:sz w:val="24"/>
          <w:highlight w:val="none"/>
        </w:rPr>
      </w:pPr>
      <w:r>
        <w:rPr>
          <w:rFonts w:hint="eastAsia" w:ascii="宋体" w:hAnsi="宋体"/>
          <w:b/>
          <w:color w:val="auto"/>
          <w:spacing w:val="4"/>
          <w:sz w:val="24"/>
          <w:highlight w:val="none"/>
        </w:rPr>
        <w:t>3.</w:t>
      </w:r>
      <w:r>
        <w:rPr>
          <w:rFonts w:hint="eastAsia" w:ascii="宋体" w:hAnsi="宋体"/>
          <w:b/>
          <w:color w:val="auto"/>
          <w:sz w:val="24"/>
          <w:highlight w:val="none"/>
        </w:rPr>
        <w:t>报价应分单价、小计、总价。</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4.投标文件中标明的价格在合同执行过程中是固定不变的，不得以任何理由予以变更。以可变动价格提交的报价将被认为是非实质响应而被拒绝。</w:t>
      </w:r>
    </w:p>
    <w:p>
      <w:pPr>
        <w:spacing w:line="360" w:lineRule="auto"/>
        <w:ind w:right="359" w:rightChars="171"/>
        <w:rPr>
          <w:rFonts w:ascii="宋体" w:hAnsi="宋体"/>
          <w:b/>
          <w:color w:val="auto"/>
          <w:sz w:val="24"/>
          <w:szCs w:val="24"/>
          <w:highlight w:val="none"/>
        </w:rPr>
      </w:pPr>
      <w:r>
        <w:rPr>
          <w:rFonts w:hint="eastAsia" w:ascii="宋体" w:hAnsi="宋体"/>
          <w:b/>
          <w:color w:val="auto"/>
          <w:sz w:val="24"/>
          <w:szCs w:val="24"/>
          <w:highlight w:val="none"/>
        </w:rPr>
        <w:t>八、付款方式</w:t>
      </w:r>
    </w:p>
    <w:p>
      <w:pPr>
        <w:pStyle w:val="2"/>
        <w:spacing w:line="360" w:lineRule="auto"/>
        <w:ind w:firstLine="482" w:firstLineChars="200"/>
        <w:rPr>
          <w:rFonts w:ascii="宋体" w:hAnsi="宋体" w:eastAsia="宋体"/>
          <w:b/>
          <w:color w:val="auto"/>
          <w:kern w:val="0"/>
          <w:sz w:val="24"/>
          <w:szCs w:val="24"/>
          <w:highlight w:val="none"/>
        </w:rPr>
      </w:pPr>
      <w:r>
        <w:rPr>
          <w:rFonts w:hint="eastAsia" w:ascii="宋体" w:hAnsi="宋体" w:eastAsia="宋体"/>
          <w:b/>
          <w:color w:val="auto"/>
          <w:kern w:val="0"/>
          <w:sz w:val="24"/>
          <w:szCs w:val="24"/>
          <w:highlight w:val="none"/>
          <w:lang w:val="en-US" w:eastAsia="zh-CN"/>
        </w:rPr>
        <w:t>1</w:t>
      </w:r>
      <w:r>
        <w:rPr>
          <w:rFonts w:ascii="宋体" w:hAnsi="宋体" w:eastAsia="宋体"/>
          <w:b/>
          <w:color w:val="auto"/>
          <w:kern w:val="0"/>
          <w:sz w:val="24"/>
          <w:szCs w:val="24"/>
          <w:highlight w:val="none"/>
        </w:rPr>
        <w:t>.付款方式：</w:t>
      </w:r>
    </w:p>
    <w:p>
      <w:pPr>
        <w:pStyle w:val="2"/>
        <w:spacing w:line="360" w:lineRule="auto"/>
        <w:ind w:firstLine="482" w:firstLineChars="200"/>
        <w:rPr>
          <w:rFonts w:ascii="宋体" w:hAnsi="宋体" w:eastAsia="宋体"/>
          <w:b/>
          <w:color w:val="auto"/>
          <w:kern w:val="0"/>
          <w:sz w:val="24"/>
          <w:szCs w:val="24"/>
          <w:highlight w:val="none"/>
        </w:rPr>
      </w:pPr>
      <w:r>
        <w:rPr>
          <w:rFonts w:hint="eastAsia" w:ascii="宋体" w:hAnsi="宋体" w:eastAsia="宋体"/>
          <w:b/>
          <w:color w:val="auto"/>
          <w:kern w:val="0"/>
          <w:sz w:val="24"/>
          <w:szCs w:val="24"/>
          <w:highlight w:val="none"/>
          <w:lang w:val="en-US" w:eastAsia="zh-CN"/>
        </w:rPr>
        <w:t>1</w:t>
      </w:r>
      <w:r>
        <w:rPr>
          <w:rFonts w:ascii="宋体" w:hAnsi="宋体" w:eastAsia="宋体"/>
          <w:b/>
          <w:color w:val="auto"/>
          <w:kern w:val="0"/>
          <w:sz w:val="24"/>
          <w:szCs w:val="24"/>
          <w:highlight w:val="none"/>
        </w:rPr>
        <w:t>.1</w:t>
      </w:r>
      <w:r>
        <w:rPr>
          <w:rFonts w:hint="eastAsia" w:ascii="宋体" w:hAnsi="宋体" w:eastAsia="宋体"/>
          <w:b/>
          <w:color w:val="auto"/>
          <w:sz w:val="24"/>
          <w:szCs w:val="24"/>
          <w:highlight w:val="none"/>
        </w:rPr>
        <w:t>合同签订后</w:t>
      </w:r>
      <w:r>
        <w:rPr>
          <w:rFonts w:ascii="宋体" w:hAnsi="宋体" w:eastAsia="宋体"/>
          <w:b/>
          <w:color w:val="auto"/>
          <w:sz w:val="24"/>
          <w:szCs w:val="24"/>
          <w:highlight w:val="none"/>
        </w:rPr>
        <w:t>10个工作日内，</w:t>
      </w:r>
      <w:r>
        <w:rPr>
          <w:rFonts w:hint="eastAsia" w:ascii="宋体" w:hAnsi="宋体" w:eastAsia="宋体"/>
          <w:b/>
          <w:color w:val="auto"/>
          <w:sz w:val="24"/>
          <w:szCs w:val="24"/>
          <w:highlight w:val="none"/>
        </w:rPr>
        <w:t>采购单位在收到使用单位的款项后</w:t>
      </w:r>
      <w:r>
        <w:rPr>
          <w:rFonts w:ascii="宋体" w:hAnsi="宋体" w:eastAsia="宋体"/>
          <w:b/>
          <w:color w:val="auto"/>
          <w:sz w:val="24"/>
          <w:szCs w:val="24"/>
          <w:highlight w:val="none"/>
        </w:rPr>
        <w:t>向</w:t>
      </w:r>
      <w:r>
        <w:rPr>
          <w:rFonts w:hint="eastAsia" w:ascii="宋体" w:hAnsi="宋体" w:eastAsia="宋体"/>
          <w:b/>
          <w:color w:val="auto"/>
          <w:sz w:val="24"/>
          <w:szCs w:val="24"/>
          <w:highlight w:val="none"/>
        </w:rPr>
        <w:t>中标供应商</w:t>
      </w:r>
      <w:r>
        <w:rPr>
          <w:rFonts w:ascii="宋体" w:hAnsi="宋体" w:eastAsia="宋体"/>
          <w:b/>
          <w:color w:val="auto"/>
          <w:sz w:val="24"/>
          <w:szCs w:val="24"/>
          <w:highlight w:val="none"/>
        </w:rPr>
        <w:t>支付合同总价的</w:t>
      </w:r>
      <w:r>
        <w:rPr>
          <w:rFonts w:hint="eastAsia" w:ascii="宋体" w:hAnsi="宋体" w:eastAsia="宋体"/>
          <w:b/>
          <w:color w:val="auto"/>
          <w:sz w:val="24"/>
          <w:szCs w:val="24"/>
          <w:highlight w:val="none"/>
        </w:rPr>
        <w:t>5</w:t>
      </w:r>
      <w:r>
        <w:rPr>
          <w:rFonts w:ascii="宋体" w:hAnsi="宋体" w:eastAsia="宋体"/>
          <w:b/>
          <w:color w:val="auto"/>
          <w:sz w:val="24"/>
          <w:szCs w:val="24"/>
          <w:highlight w:val="none"/>
        </w:rPr>
        <w:t>0%</w:t>
      </w:r>
      <w:r>
        <w:rPr>
          <w:rFonts w:hint="eastAsia" w:ascii="宋体" w:hAnsi="宋体" w:eastAsia="宋体"/>
          <w:b/>
          <w:color w:val="auto"/>
          <w:sz w:val="24"/>
          <w:szCs w:val="24"/>
          <w:highlight w:val="none"/>
        </w:rPr>
        <w:t>的</w:t>
      </w:r>
      <w:r>
        <w:rPr>
          <w:rFonts w:ascii="宋体" w:hAnsi="宋体" w:eastAsia="宋体"/>
          <w:b/>
          <w:color w:val="auto"/>
          <w:sz w:val="24"/>
          <w:szCs w:val="24"/>
          <w:highlight w:val="none"/>
        </w:rPr>
        <w:t>预付款。</w:t>
      </w:r>
    </w:p>
    <w:p>
      <w:pPr>
        <w:tabs>
          <w:tab w:val="left" w:pos="5130"/>
        </w:tabs>
        <w:spacing w:line="360" w:lineRule="auto"/>
        <w:ind w:firstLine="482" w:firstLineChars="200"/>
        <w:rPr>
          <w:color w:val="auto"/>
          <w:szCs w:val="24"/>
          <w:highlight w:val="none"/>
        </w:rPr>
      </w:pPr>
      <w:r>
        <w:rPr>
          <w:rFonts w:hint="eastAsia" w:ascii="宋体" w:hAnsi="宋体"/>
          <w:b/>
          <w:color w:val="auto"/>
          <w:kern w:val="0"/>
          <w:sz w:val="24"/>
          <w:szCs w:val="24"/>
          <w:highlight w:val="none"/>
          <w:lang w:val="en-US" w:eastAsia="zh-CN"/>
        </w:rPr>
        <w:t>1</w:t>
      </w:r>
      <w:r>
        <w:rPr>
          <w:rFonts w:ascii="宋体" w:hAnsi="宋体"/>
          <w:b/>
          <w:color w:val="auto"/>
          <w:kern w:val="0"/>
          <w:sz w:val="24"/>
          <w:szCs w:val="24"/>
          <w:highlight w:val="none"/>
        </w:rPr>
        <w:t>.2</w:t>
      </w:r>
      <w:r>
        <w:rPr>
          <w:rFonts w:hint="eastAsia" w:ascii="宋体" w:hAnsi="宋体"/>
          <w:b/>
          <w:color w:val="auto"/>
          <w:sz w:val="24"/>
          <w:szCs w:val="24"/>
          <w:highlight w:val="none"/>
        </w:rPr>
        <w:t>中标供应商</w:t>
      </w:r>
      <w:r>
        <w:rPr>
          <w:rFonts w:ascii="宋体" w:hAnsi="宋体"/>
          <w:b/>
          <w:color w:val="auto"/>
          <w:sz w:val="24"/>
          <w:szCs w:val="24"/>
          <w:highlight w:val="none"/>
        </w:rPr>
        <w:t>供货安装、调试完毕，</w:t>
      </w:r>
      <w:r>
        <w:rPr>
          <w:rFonts w:hint="eastAsia" w:ascii="宋体" w:hAnsi="宋体"/>
          <w:b/>
          <w:color w:val="auto"/>
          <w:sz w:val="24"/>
          <w:szCs w:val="24"/>
          <w:highlight w:val="none"/>
        </w:rPr>
        <w:t>使用单位</w:t>
      </w:r>
      <w:r>
        <w:rPr>
          <w:rFonts w:ascii="宋体" w:hAnsi="宋体"/>
          <w:b/>
          <w:color w:val="auto"/>
          <w:sz w:val="24"/>
          <w:szCs w:val="24"/>
          <w:highlight w:val="none"/>
        </w:rPr>
        <w:t>验收合格后，</w:t>
      </w:r>
      <w:r>
        <w:rPr>
          <w:rFonts w:hint="eastAsia" w:ascii="宋体" w:hAnsi="宋体"/>
          <w:b/>
          <w:color w:val="auto"/>
          <w:sz w:val="24"/>
          <w:szCs w:val="24"/>
          <w:highlight w:val="none"/>
        </w:rPr>
        <w:t>中标供应商</w:t>
      </w:r>
      <w:r>
        <w:rPr>
          <w:rFonts w:ascii="宋体" w:hAnsi="宋体"/>
          <w:b/>
          <w:color w:val="auto"/>
          <w:sz w:val="24"/>
          <w:szCs w:val="24"/>
          <w:highlight w:val="none"/>
        </w:rPr>
        <w:t>开具</w:t>
      </w:r>
      <w:r>
        <w:rPr>
          <w:rFonts w:hint="eastAsia" w:ascii="宋体" w:hAnsi="宋体" w:cs="宋体"/>
          <w:b/>
          <w:color w:val="auto"/>
          <w:sz w:val="24"/>
          <w:szCs w:val="24"/>
          <w:highlight w:val="none"/>
        </w:rPr>
        <w:t>合同总价</w:t>
      </w:r>
      <w:r>
        <w:rPr>
          <w:rFonts w:ascii="宋体" w:hAnsi="宋体" w:cs="宋体"/>
          <w:b/>
          <w:color w:val="auto"/>
          <w:sz w:val="24"/>
          <w:szCs w:val="24"/>
          <w:highlight w:val="none"/>
        </w:rPr>
        <w:t>100%的正规发票和</w:t>
      </w:r>
      <w:r>
        <w:rPr>
          <w:rFonts w:ascii="宋体" w:hAnsi="宋体"/>
          <w:b/>
          <w:color w:val="auto"/>
          <w:sz w:val="24"/>
          <w:szCs w:val="24"/>
          <w:highlight w:val="none"/>
        </w:rPr>
        <w:t>全部货物清单给</w:t>
      </w:r>
      <w:r>
        <w:rPr>
          <w:rFonts w:hint="eastAsia" w:ascii="宋体" w:hAnsi="宋体"/>
          <w:b/>
          <w:color w:val="auto"/>
          <w:sz w:val="24"/>
          <w:szCs w:val="24"/>
          <w:highlight w:val="none"/>
        </w:rPr>
        <w:t>采购单位</w:t>
      </w:r>
      <w:r>
        <w:rPr>
          <w:rFonts w:ascii="宋体" w:hAnsi="宋体"/>
          <w:b/>
          <w:color w:val="auto"/>
          <w:sz w:val="24"/>
          <w:szCs w:val="24"/>
          <w:highlight w:val="none"/>
        </w:rPr>
        <w:t>，</w:t>
      </w:r>
      <w:r>
        <w:rPr>
          <w:rFonts w:hint="eastAsia" w:ascii="宋体" w:hAnsi="宋体"/>
          <w:b/>
          <w:color w:val="auto"/>
          <w:sz w:val="24"/>
          <w:szCs w:val="24"/>
          <w:highlight w:val="none"/>
        </w:rPr>
        <w:t>采购单位在收到使用单位的款项</w:t>
      </w:r>
      <w:r>
        <w:rPr>
          <w:rFonts w:ascii="宋体" w:hAnsi="宋体"/>
          <w:b/>
          <w:color w:val="auto"/>
          <w:sz w:val="24"/>
          <w:szCs w:val="24"/>
          <w:highlight w:val="none"/>
        </w:rPr>
        <w:t>向</w:t>
      </w:r>
      <w:r>
        <w:rPr>
          <w:rFonts w:hint="eastAsia" w:ascii="宋体" w:hAnsi="宋体"/>
          <w:b/>
          <w:color w:val="auto"/>
          <w:sz w:val="24"/>
          <w:szCs w:val="24"/>
          <w:highlight w:val="none"/>
        </w:rPr>
        <w:t>中标供应商</w:t>
      </w:r>
      <w:r>
        <w:rPr>
          <w:rFonts w:ascii="宋体" w:hAnsi="宋体"/>
          <w:b/>
          <w:color w:val="auto"/>
          <w:sz w:val="24"/>
          <w:szCs w:val="24"/>
          <w:highlight w:val="none"/>
        </w:rPr>
        <w:t>支</w:t>
      </w:r>
      <w:r>
        <w:rPr>
          <w:rFonts w:hint="eastAsia" w:ascii="宋体" w:hAnsi="宋体"/>
          <w:b/>
          <w:color w:val="auto"/>
          <w:sz w:val="24"/>
          <w:szCs w:val="24"/>
          <w:highlight w:val="none"/>
        </w:rPr>
        <w:t>付合同总价的5</w:t>
      </w:r>
      <w:r>
        <w:rPr>
          <w:rFonts w:ascii="宋体" w:hAnsi="宋体"/>
          <w:b/>
          <w:color w:val="auto"/>
          <w:sz w:val="24"/>
          <w:szCs w:val="24"/>
          <w:highlight w:val="none"/>
        </w:rPr>
        <w:t>0%的款项。</w:t>
      </w:r>
    </w:p>
    <w:p>
      <w:pPr>
        <w:spacing w:line="360" w:lineRule="auto"/>
        <w:rPr>
          <w:rFonts w:ascii="宋体" w:hAnsi="宋体"/>
          <w:b/>
          <w:color w:val="auto"/>
          <w:sz w:val="24"/>
          <w:szCs w:val="24"/>
          <w:highlight w:val="none"/>
        </w:rPr>
      </w:pPr>
      <w:r>
        <w:rPr>
          <w:rFonts w:hint="eastAsia" w:ascii="宋体" w:hAnsi="宋体"/>
          <w:b/>
          <w:color w:val="auto"/>
          <w:sz w:val="24"/>
          <w:szCs w:val="24"/>
          <w:highlight w:val="none"/>
        </w:rPr>
        <w:t>九、合同签订</w:t>
      </w:r>
    </w:p>
    <w:p>
      <w:pPr>
        <w:spacing w:line="360" w:lineRule="auto"/>
        <w:ind w:firstLine="470" w:firstLineChars="196"/>
        <w:rPr>
          <w:rFonts w:ascii="宋体" w:hAnsi="宋体"/>
          <w:color w:val="auto"/>
          <w:sz w:val="24"/>
          <w:szCs w:val="24"/>
          <w:highlight w:val="none"/>
        </w:rPr>
      </w:pPr>
      <w:r>
        <w:rPr>
          <w:rFonts w:hint="eastAsia" w:ascii="宋体" w:hAnsi="宋体"/>
          <w:color w:val="auto"/>
          <w:sz w:val="24"/>
          <w:szCs w:val="24"/>
          <w:highlight w:val="none"/>
        </w:rPr>
        <w:t>1.中标供应商接到中标通知书后20个日历日内，持中标通知书与采购单位签订合同。</w:t>
      </w:r>
    </w:p>
    <w:p>
      <w:pPr>
        <w:spacing w:line="360" w:lineRule="auto"/>
        <w:ind w:firstLine="378"/>
        <w:rPr>
          <w:rFonts w:ascii="宋体" w:hAnsi="宋体"/>
          <w:color w:val="auto"/>
          <w:sz w:val="24"/>
          <w:szCs w:val="24"/>
          <w:highlight w:val="none"/>
        </w:rPr>
      </w:pPr>
      <w:r>
        <w:rPr>
          <w:rFonts w:hint="eastAsia" w:ascii="宋体" w:hAnsi="宋体"/>
          <w:color w:val="auto"/>
          <w:sz w:val="24"/>
          <w:szCs w:val="24"/>
          <w:highlight w:val="none"/>
        </w:rPr>
        <w:t>2.招标文件、投标文件均作为合同订立的基础，为合同组成部分。</w:t>
      </w:r>
    </w:p>
    <w:p>
      <w:pPr>
        <w:widowControl/>
        <w:spacing w:line="360" w:lineRule="auto"/>
        <w:ind w:right="-63" w:rightChars="-30"/>
        <w:jc w:val="left"/>
        <w:rPr>
          <w:rFonts w:ascii="宋体" w:hAnsi="宋体"/>
          <w:color w:val="auto"/>
          <w:sz w:val="24"/>
          <w:szCs w:val="24"/>
          <w:highlight w:val="none"/>
        </w:rPr>
      </w:pPr>
      <w:r>
        <w:rPr>
          <w:rFonts w:hint="eastAsia" w:ascii="宋体" w:hAnsi="宋体"/>
          <w:b/>
          <w:color w:val="auto"/>
          <w:sz w:val="24"/>
          <w:szCs w:val="24"/>
          <w:highlight w:val="none"/>
        </w:rPr>
        <w:t xml:space="preserve">十、其他事项 </w:t>
      </w:r>
    </w:p>
    <w:p>
      <w:pPr>
        <w:spacing w:line="360" w:lineRule="auto"/>
        <w:ind w:firstLine="482" w:firstLineChars="200"/>
        <w:rPr>
          <w:rFonts w:ascii="宋体" w:hAnsi="宋体"/>
          <w:b/>
          <w:color w:val="auto"/>
          <w:sz w:val="24"/>
          <w:szCs w:val="24"/>
          <w:highlight w:val="none"/>
        </w:rPr>
      </w:pPr>
      <w:r>
        <w:rPr>
          <w:rFonts w:ascii="宋体" w:hAnsi="宋体"/>
          <w:b/>
          <w:color w:val="auto"/>
          <w:sz w:val="24"/>
          <w:szCs w:val="24"/>
          <w:highlight w:val="none"/>
        </w:rPr>
        <w:t>1.交付使用期：</w:t>
      </w:r>
      <w:r>
        <w:rPr>
          <w:rFonts w:hint="eastAsia" w:ascii="宋体" w:hAnsi="宋体"/>
          <w:b/>
          <w:color w:val="auto"/>
          <w:sz w:val="24"/>
          <w:szCs w:val="24"/>
          <w:highlight w:val="none"/>
        </w:rPr>
        <w:t>合同签订之日起40个日历日内（含交货及安装）。</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2.投标人需提供公司的基本情况、业绩、主要技术人员及资信证明。</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3．投标人在投标文件中详细说明所投货物的技术水平、性能等(材质构成、油漆、内外部结构、五金配件、制造工艺、生产流程、加工设备及其它)。</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4．附件及零配件：投标人应列出备品/备件及附件的清单及价格。</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5．投标人认为有必要提供的其它技术资料。</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6．投标人若有其它方面的特殊功能及优惠条件，可在投标文件中注明。</w:t>
      </w:r>
    </w:p>
    <w:p>
      <w:pPr>
        <w:spacing w:line="360" w:lineRule="auto"/>
        <w:ind w:firstLine="480" w:firstLineChars="200"/>
        <w:rPr>
          <w:rFonts w:ascii="宋体" w:hAnsi="宋体"/>
          <w:bCs/>
          <w:color w:val="auto"/>
          <w:sz w:val="24"/>
          <w:szCs w:val="24"/>
          <w:highlight w:val="none"/>
        </w:rPr>
      </w:pPr>
      <w:r>
        <w:rPr>
          <w:rFonts w:hint="eastAsia" w:ascii="宋体" w:hAnsi="宋体"/>
          <w:bCs/>
          <w:color w:val="auto"/>
          <w:sz w:val="24"/>
          <w:szCs w:val="24"/>
          <w:highlight w:val="none"/>
        </w:rPr>
        <w:t>7</w:t>
      </w:r>
      <w:r>
        <w:rPr>
          <w:rFonts w:hint="eastAsia" w:ascii="宋体" w:hAnsi="宋体"/>
          <w:color w:val="auto"/>
          <w:sz w:val="24"/>
          <w:szCs w:val="24"/>
          <w:highlight w:val="none"/>
        </w:rPr>
        <w:t>．如</w:t>
      </w:r>
      <w:r>
        <w:rPr>
          <w:rFonts w:hint="eastAsia" w:ascii="宋体" w:hAnsi="宋体"/>
          <w:bCs/>
          <w:color w:val="auto"/>
          <w:sz w:val="24"/>
          <w:szCs w:val="24"/>
          <w:highlight w:val="none"/>
        </w:rPr>
        <w:t>使用单位对采购数量有所调整，将按中标单价调整合同总价，中标供应商不得有异议。如款式及型号有所变动必须经使用单位书面确认，涉及单价变动的以中标单价为基准，由使用单位和中标供应商协商确定。</w:t>
      </w:r>
    </w:p>
    <w:p>
      <w:pPr>
        <w:spacing w:line="360" w:lineRule="auto"/>
        <w:ind w:firstLine="480" w:firstLineChars="200"/>
        <w:rPr>
          <w:rFonts w:ascii="宋体" w:hAnsi="宋体" w:cs="宋体"/>
          <w:color w:val="auto"/>
          <w:sz w:val="28"/>
          <w:szCs w:val="28"/>
          <w:highlight w:val="none"/>
        </w:rPr>
      </w:pPr>
      <w:r>
        <w:rPr>
          <w:rFonts w:hint="eastAsia" w:ascii="宋体" w:hAnsi="宋体"/>
          <w:color w:val="auto"/>
          <w:sz w:val="24"/>
          <w:szCs w:val="24"/>
          <w:highlight w:val="none"/>
          <w:lang w:val="en-US" w:eastAsia="zh-CN"/>
        </w:rPr>
        <w:t>8</w:t>
      </w:r>
      <w:r>
        <w:rPr>
          <w:rFonts w:hint="eastAsia" w:ascii="宋体" w:hAnsi="宋体"/>
          <w:color w:val="auto"/>
          <w:sz w:val="24"/>
          <w:szCs w:val="24"/>
          <w:highlight w:val="none"/>
        </w:rPr>
        <w:t>.中标供应商在供货、安装调试及验收过程中若有出现安全事故，其责任及相应的赔偿均由中标供应商自行承担，采购单位及使用单位不承担所有责任及义务。</w:t>
      </w:r>
    </w:p>
    <w:p>
      <w:pPr>
        <w:tabs>
          <w:tab w:val="left" w:pos="5130"/>
        </w:tabs>
        <w:spacing w:line="360" w:lineRule="auto"/>
        <w:ind w:firstLine="480" w:firstLineChars="200"/>
        <w:rPr>
          <w:rFonts w:ascii="宋体" w:hAnsi="宋体" w:cs="宋体"/>
          <w:color w:val="auto"/>
          <w:sz w:val="24"/>
          <w:szCs w:val="24"/>
          <w:highlight w:val="none"/>
        </w:rPr>
      </w:pPr>
    </w:p>
    <w:p>
      <w:pPr>
        <w:tabs>
          <w:tab w:val="left" w:pos="5130"/>
        </w:tabs>
        <w:spacing w:line="360" w:lineRule="auto"/>
        <w:ind w:firstLine="480" w:firstLineChars="200"/>
        <w:rPr>
          <w:rFonts w:ascii="宋体" w:hAnsi="宋体" w:cs="宋体"/>
          <w:color w:val="auto"/>
          <w:sz w:val="24"/>
          <w:szCs w:val="24"/>
          <w:highlight w:val="none"/>
        </w:rPr>
      </w:pPr>
    </w:p>
    <w:p>
      <w:pPr>
        <w:tabs>
          <w:tab w:val="left" w:pos="5130"/>
        </w:tabs>
        <w:spacing w:line="360" w:lineRule="auto"/>
        <w:ind w:firstLine="480" w:firstLineChars="200"/>
        <w:rPr>
          <w:rFonts w:ascii="宋体" w:hAnsi="宋体" w:cs="宋体"/>
          <w:color w:val="auto"/>
          <w:sz w:val="24"/>
          <w:szCs w:val="24"/>
          <w:highlight w:val="none"/>
        </w:rPr>
      </w:pPr>
    </w:p>
    <w:p>
      <w:pPr>
        <w:tabs>
          <w:tab w:val="left" w:pos="5130"/>
        </w:tabs>
        <w:spacing w:line="360" w:lineRule="auto"/>
        <w:ind w:firstLine="480" w:firstLineChars="200"/>
        <w:rPr>
          <w:rFonts w:ascii="宋体" w:hAnsi="宋体" w:cs="宋体"/>
          <w:color w:val="auto"/>
          <w:sz w:val="24"/>
          <w:szCs w:val="24"/>
          <w:highlight w:val="none"/>
        </w:rPr>
      </w:pPr>
    </w:p>
    <w:p>
      <w:pPr>
        <w:pStyle w:val="2"/>
        <w:rPr>
          <w:rFonts w:ascii="宋体" w:hAnsi="宋体" w:cs="宋体"/>
          <w:color w:val="auto"/>
          <w:sz w:val="24"/>
          <w:szCs w:val="24"/>
          <w:highlight w:val="none"/>
        </w:rPr>
      </w:pPr>
    </w:p>
    <w:p>
      <w:pPr>
        <w:rPr>
          <w:rFonts w:ascii="宋体" w:hAnsi="宋体" w:cs="宋体"/>
          <w:color w:val="auto"/>
          <w:sz w:val="24"/>
          <w:szCs w:val="24"/>
          <w:highlight w:val="none"/>
        </w:rPr>
      </w:pPr>
    </w:p>
    <w:p>
      <w:pPr>
        <w:pStyle w:val="2"/>
        <w:rPr>
          <w:rFonts w:ascii="宋体" w:hAnsi="宋体" w:cs="宋体"/>
          <w:color w:val="auto"/>
          <w:sz w:val="24"/>
          <w:szCs w:val="24"/>
          <w:highlight w:val="none"/>
        </w:rPr>
      </w:pPr>
    </w:p>
    <w:p>
      <w:pPr>
        <w:rPr>
          <w:rFonts w:ascii="宋体" w:hAnsi="宋体" w:cs="宋体"/>
          <w:color w:val="auto"/>
          <w:sz w:val="24"/>
          <w:szCs w:val="24"/>
          <w:highlight w:val="none"/>
        </w:rPr>
      </w:pPr>
    </w:p>
    <w:p>
      <w:pPr>
        <w:pStyle w:val="2"/>
        <w:rPr>
          <w:rFonts w:ascii="宋体" w:hAnsi="宋体" w:cs="宋体"/>
          <w:color w:val="auto"/>
          <w:sz w:val="24"/>
          <w:szCs w:val="24"/>
          <w:highlight w:val="none"/>
        </w:rPr>
      </w:pPr>
    </w:p>
    <w:p>
      <w:pPr>
        <w:rPr>
          <w:rFonts w:ascii="宋体" w:hAnsi="宋体" w:cs="宋体"/>
          <w:color w:val="auto"/>
          <w:sz w:val="24"/>
          <w:szCs w:val="24"/>
          <w:highlight w:val="none"/>
        </w:rPr>
      </w:pPr>
    </w:p>
    <w:p>
      <w:pPr>
        <w:pStyle w:val="2"/>
        <w:rPr>
          <w:rFonts w:ascii="宋体" w:hAnsi="宋体" w:cs="宋体"/>
          <w:color w:val="auto"/>
          <w:sz w:val="24"/>
          <w:szCs w:val="24"/>
          <w:highlight w:val="none"/>
        </w:rPr>
      </w:pPr>
    </w:p>
    <w:p>
      <w:pPr>
        <w:rPr>
          <w:rFonts w:ascii="宋体" w:hAnsi="宋体" w:cs="宋体"/>
          <w:color w:val="auto"/>
          <w:sz w:val="24"/>
          <w:szCs w:val="24"/>
          <w:highlight w:val="none"/>
        </w:rPr>
      </w:pPr>
    </w:p>
    <w:p>
      <w:pPr>
        <w:pStyle w:val="2"/>
        <w:rPr>
          <w:color w:val="auto"/>
          <w:highlight w:val="none"/>
        </w:rPr>
      </w:pPr>
    </w:p>
    <w:p>
      <w:pPr>
        <w:tabs>
          <w:tab w:val="left" w:pos="5130"/>
        </w:tabs>
        <w:spacing w:line="360" w:lineRule="auto"/>
        <w:ind w:firstLine="480" w:firstLineChars="200"/>
        <w:rPr>
          <w:rFonts w:ascii="宋体" w:hAnsi="宋体" w:cs="宋体"/>
          <w:color w:val="auto"/>
          <w:sz w:val="24"/>
          <w:szCs w:val="24"/>
          <w:highlight w:val="none"/>
        </w:rPr>
      </w:pPr>
    </w:p>
    <w:p>
      <w:pPr>
        <w:tabs>
          <w:tab w:val="left" w:pos="5130"/>
        </w:tabs>
        <w:spacing w:line="360" w:lineRule="auto"/>
        <w:ind w:firstLine="480" w:firstLineChars="200"/>
        <w:rPr>
          <w:rFonts w:ascii="宋体" w:hAnsi="宋体" w:cs="宋体"/>
          <w:color w:val="auto"/>
          <w:sz w:val="24"/>
          <w:szCs w:val="24"/>
          <w:highlight w:val="none"/>
        </w:rPr>
      </w:pPr>
    </w:p>
    <w:p>
      <w:pPr>
        <w:tabs>
          <w:tab w:val="left" w:pos="5130"/>
        </w:tabs>
        <w:spacing w:line="360" w:lineRule="auto"/>
        <w:ind w:firstLine="480" w:firstLineChars="200"/>
        <w:rPr>
          <w:rFonts w:ascii="宋体" w:hAnsi="宋体" w:cs="宋体"/>
          <w:color w:val="auto"/>
          <w:sz w:val="24"/>
          <w:szCs w:val="24"/>
          <w:highlight w:val="none"/>
        </w:rPr>
      </w:pPr>
    </w:p>
    <w:p>
      <w:pPr>
        <w:spacing w:line="360" w:lineRule="auto"/>
        <w:rPr>
          <w:rFonts w:ascii="宋体" w:hAnsi="宋体" w:cs="宋体"/>
          <w:color w:val="auto"/>
          <w:sz w:val="32"/>
          <w:szCs w:val="32"/>
          <w:highlight w:val="none"/>
        </w:rPr>
      </w:pPr>
      <w:r>
        <w:rPr>
          <w:rFonts w:hint="eastAsia" w:ascii="宋体" w:hAnsi="宋体" w:cs="宋体"/>
          <w:b/>
          <w:color w:val="auto"/>
          <w:sz w:val="32"/>
          <w:szCs w:val="32"/>
          <w:highlight w:val="none"/>
        </w:rPr>
        <w:t>附表：</w:t>
      </w:r>
    </w:p>
    <w:p>
      <w:pPr>
        <w:spacing w:line="360" w:lineRule="auto"/>
        <w:ind w:firstLine="630" w:firstLineChars="196"/>
        <w:jc w:val="center"/>
        <w:rPr>
          <w:rFonts w:ascii="宋体" w:hAnsi="宋体" w:cs="宋体"/>
          <w:b/>
          <w:color w:val="auto"/>
          <w:sz w:val="32"/>
          <w:szCs w:val="32"/>
          <w:highlight w:val="none"/>
        </w:rPr>
      </w:pPr>
      <w:r>
        <w:rPr>
          <w:rFonts w:hint="eastAsia" w:ascii="宋体" w:hAnsi="宋体" w:cs="宋体"/>
          <w:b/>
          <w:color w:val="auto"/>
          <w:sz w:val="32"/>
          <w:szCs w:val="32"/>
          <w:highlight w:val="none"/>
        </w:rPr>
        <w:t>技术规格及商务响应表</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（投标人应针对下表中体现的招标要求及“投标人须知前附表2:资格性、符合性检查表”内容逐条说明投标响应情况，并附上相应资料，投标响应对应的页码以及偏离说明）</w:t>
      </w:r>
    </w:p>
    <w:p>
      <w:pPr>
        <w:spacing w:line="360" w:lineRule="auto"/>
        <w:rPr>
          <w:rFonts w:ascii="宋体" w:hAnsi="宋体" w:cs="宋体"/>
          <w:b/>
          <w:color w:val="auto"/>
          <w:sz w:val="24"/>
          <w:szCs w:val="24"/>
          <w:highlight w:val="none"/>
        </w:rPr>
      </w:pPr>
    </w:p>
    <w:tbl>
      <w:tblPr>
        <w:tblStyle w:val="12"/>
        <w:tblW w:w="102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0"/>
        <w:gridCol w:w="707"/>
        <w:gridCol w:w="709"/>
        <w:gridCol w:w="5386"/>
        <w:gridCol w:w="779"/>
        <w:gridCol w:w="935"/>
        <w:gridCol w:w="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7762" w:type="dxa"/>
            <w:gridSpan w:val="4"/>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招标要求</w:t>
            </w:r>
          </w:p>
        </w:tc>
        <w:tc>
          <w:tcPr>
            <w:tcW w:w="2489" w:type="dxa"/>
            <w:gridSpan w:val="3"/>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投标响应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合同包/品目号</w:t>
            </w:r>
          </w:p>
        </w:tc>
        <w:tc>
          <w:tcPr>
            <w:tcW w:w="70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货物</w:t>
            </w:r>
          </w:p>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名称</w:t>
            </w:r>
          </w:p>
        </w:tc>
        <w:tc>
          <w:tcPr>
            <w:tcW w:w="70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规格</w:t>
            </w:r>
          </w:p>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条目号</w:t>
            </w:r>
          </w:p>
        </w:tc>
        <w:tc>
          <w:tcPr>
            <w:tcW w:w="5386"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招标文件要求</w:t>
            </w:r>
          </w:p>
        </w:tc>
        <w:tc>
          <w:tcPr>
            <w:tcW w:w="77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投标响应情况</w:t>
            </w:r>
          </w:p>
        </w:tc>
        <w:tc>
          <w:tcPr>
            <w:tcW w:w="93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投标响应对应的页码</w:t>
            </w:r>
          </w:p>
        </w:tc>
        <w:tc>
          <w:tcPr>
            <w:tcW w:w="77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r>
              <w:rPr>
                <w:rFonts w:hint="eastAsia" w:ascii="宋体" w:hAnsi="宋体" w:cs="宋体"/>
                <w:color w:val="auto"/>
                <w:sz w:val="24"/>
                <w:szCs w:val="24"/>
                <w:highlight w:val="none"/>
              </w:rPr>
              <w:t>偏离说明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restart"/>
            <w:tcBorders>
              <w:top w:val="single" w:color="auto" w:sz="4" w:space="0"/>
              <w:left w:val="single" w:color="auto" w:sz="4" w:space="0"/>
              <w:right w:val="single" w:color="auto" w:sz="4" w:space="0"/>
            </w:tcBorders>
            <w:vAlign w:val="center"/>
          </w:tcPr>
          <w:p>
            <w:pPr>
              <w:spacing w:line="360" w:lineRule="auto"/>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1/1-1</w:t>
            </w:r>
          </w:p>
        </w:tc>
        <w:tc>
          <w:tcPr>
            <w:tcW w:w="707" w:type="dxa"/>
            <w:vMerge w:val="restart"/>
            <w:tcBorders>
              <w:top w:val="single" w:color="auto" w:sz="4" w:space="0"/>
              <w:left w:val="single" w:color="auto" w:sz="4" w:space="0"/>
              <w:right w:val="single" w:color="auto" w:sz="4" w:space="0"/>
            </w:tcBorders>
            <w:vAlign w:val="center"/>
          </w:tcPr>
          <w:p>
            <w:pPr>
              <w:spacing w:line="360" w:lineRule="auto"/>
              <w:rPr>
                <w:rFonts w:ascii="宋体" w:hAnsi="宋体" w:cs="宋体"/>
                <w:color w:val="auto"/>
                <w:sz w:val="24"/>
                <w:szCs w:val="24"/>
                <w:highlight w:val="none"/>
              </w:rPr>
            </w:pPr>
            <w:r>
              <w:rPr>
                <w:rFonts w:hint="eastAsia" w:ascii="宋体" w:hAnsi="宋体" w:eastAsia="宋体" w:cs="宋体"/>
                <w:b w:val="0"/>
                <w:bCs w:val="0"/>
                <w:color w:val="auto"/>
                <w:sz w:val="24"/>
                <w:szCs w:val="24"/>
                <w:highlight w:val="none"/>
              </w:rPr>
              <w:t>家具</w:t>
            </w:r>
          </w:p>
        </w:tc>
        <w:tc>
          <w:tcPr>
            <w:tcW w:w="709" w:type="dxa"/>
            <w:vMerge w:val="restart"/>
            <w:tcBorders>
              <w:top w:val="single" w:color="auto" w:sz="4" w:space="0"/>
              <w:left w:val="single" w:color="auto" w:sz="4" w:space="0"/>
              <w:right w:val="single" w:color="auto" w:sz="4" w:space="0"/>
            </w:tcBorders>
            <w:vAlign w:val="center"/>
          </w:tcPr>
          <w:p>
            <w:pPr>
              <w:spacing w:line="360" w:lineRule="auto"/>
              <w:ind w:right="28"/>
              <w:jc w:val="left"/>
              <w:rPr>
                <w:rFonts w:ascii="宋体" w:hAnsi="宋体" w:cs="Courier New"/>
                <w:color w:val="auto"/>
                <w:sz w:val="24"/>
                <w:szCs w:val="24"/>
                <w:highlight w:val="none"/>
              </w:rPr>
            </w:pPr>
            <w:r>
              <w:rPr>
                <w:rFonts w:hint="eastAsia" w:ascii="宋体" w:hAnsi="宋体" w:cs="Courier New"/>
                <w:b/>
                <w:color w:val="auto"/>
                <w:sz w:val="24"/>
                <w:szCs w:val="24"/>
                <w:highlight w:val="none"/>
              </w:rPr>
              <w:t>一、技术要求</w:t>
            </w:r>
          </w:p>
          <w:p>
            <w:pPr>
              <w:spacing w:line="360" w:lineRule="auto"/>
              <w:jc w:val="center"/>
              <w:rPr>
                <w:rFonts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pPr>
              <w:spacing w:line="360" w:lineRule="auto"/>
              <w:ind w:right="28" w:firstLine="590" w:firstLineChars="245"/>
              <w:jc w:val="left"/>
              <w:rPr>
                <w:rFonts w:hint="default" w:ascii="宋体" w:hAnsi="宋体" w:eastAsia="宋体" w:cs="Courier New"/>
                <w:b/>
                <w:color w:val="auto"/>
                <w:sz w:val="24"/>
                <w:szCs w:val="24"/>
                <w:highlight w:val="none"/>
                <w:lang w:val="en-US" w:eastAsia="zh-CN"/>
              </w:rPr>
            </w:pPr>
            <w:r>
              <w:rPr>
                <w:rFonts w:hint="eastAsia" w:ascii="宋体" w:hAnsi="宋体" w:cs="Courier New"/>
                <w:b/>
                <w:color w:val="auto"/>
                <w:sz w:val="24"/>
                <w:szCs w:val="24"/>
                <w:highlight w:val="none"/>
              </w:rPr>
              <w:t>1、采购清单技术要求</w:t>
            </w:r>
            <w:r>
              <w:rPr>
                <w:rFonts w:hint="eastAsia" w:ascii="宋体" w:hAnsi="宋体" w:cs="Courier New"/>
                <w:b/>
                <w:color w:val="auto"/>
                <w:sz w:val="24"/>
                <w:szCs w:val="24"/>
                <w:highlight w:val="none"/>
                <w:lang w:val="en-US" w:eastAsia="zh-CN"/>
              </w:rPr>
              <w:t xml:space="preserve"> 详见招标文件</w:t>
            </w:r>
          </w:p>
          <w:p>
            <w:pPr>
              <w:tabs>
                <w:tab w:val="left" w:pos="5130"/>
              </w:tabs>
              <w:spacing w:line="360" w:lineRule="auto"/>
              <w:rPr>
                <w:rFonts w:ascii="宋体" w:hAnsi="宋体"/>
                <w:b/>
                <w:color w:val="auto"/>
                <w:sz w:val="24"/>
                <w:szCs w:val="24"/>
                <w:highlight w:val="none"/>
              </w:rPr>
            </w:pPr>
            <w:r>
              <w:rPr>
                <w:rFonts w:hint="eastAsia" w:ascii="宋体" w:hAnsi="宋体"/>
                <w:b/>
                <w:color w:val="auto"/>
                <w:sz w:val="24"/>
                <w:szCs w:val="24"/>
                <w:highlight w:val="none"/>
              </w:rPr>
              <w:t>注：</w:t>
            </w:r>
            <w:r>
              <w:rPr>
                <w:rFonts w:hint="eastAsia" w:ascii="宋体" w:hAnsi="宋体"/>
                <w:b/>
                <w:color w:val="auto"/>
                <w:sz w:val="24"/>
                <w:szCs w:val="24"/>
                <w:highlight w:val="none"/>
                <w:lang w:val="en-US" w:eastAsia="zh-CN"/>
              </w:rPr>
              <w:t>1、</w:t>
            </w:r>
            <w:r>
              <w:rPr>
                <w:rFonts w:hint="eastAsia" w:ascii="宋体" w:hAnsi="宋体"/>
                <w:b/>
                <w:color w:val="auto"/>
                <w:sz w:val="24"/>
                <w:szCs w:val="24"/>
                <w:highlight w:val="none"/>
              </w:rPr>
              <w:t>采购清单技术要求中</w:t>
            </w:r>
            <w:r>
              <w:rPr>
                <w:rFonts w:hint="eastAsia" w:ascii="宋体" w:hAnsi="宋体" w:cs="Courier New"/>
                <w:b/>
                <w:color w:val="auto"/>
                <w:sz w:val="24"/>
                <w:szCs w:val="24"/>
                <w:highlight w:val="none"/>
              </w:rPr>
              <w:t>产品有尺寸要求且未明确尺寸偏离值的，允许</w:t>
            </w:r>
            <w:r>
              <w:rPr>
                <w:rFonts w:hint="eastAsia" w:ascii="宋体" w:hAnsi="宋体"/>
                <w:b/>
                <w:color w:val="auto"/>
                <w:sz w:val="24"/>
                <w:szCs w:val="24"/>
                <w:highlight w:val="none"/>
              </w:rPr>
              <w:t>正负偏离</w:t>
            </w:r>
            <w:r>
              <w:rPr>
                <w:rFonts w:hint="eastAsia" w:ascii="宋体" w:hAnsi="宋体"/>
                <w:b/>
                <w:color w:val="auto"/>
                <w:sz w:val="24"/>
                <w:szCs w:val="24"/>
                <w:highlight w:val="none"/>
              </w:rPr>
              <w:t>5%</w:t>
            </w:r>
            <w:r>
              <w:rPr>
                <w:rFonts w:hint="eastAsia" w:ascii="宋体" w:hAnsi="宋体"/>
                <w:b/>
                <w:color w:val="auto"/>
                <w:sz w:val="24"/>
                <w:szCs w:val="24"/>
                <w:highlight w:val="none"/>
              </w:rPr>
              <w:t>以内（（有明确尺寸允许偏离值外）。</w:t>
            </w:r>
          </w:p>
          <w:p>
            <w:pPr>
              <w:spacing w:line="360" w:lineRule="auto"/>
              <w:ind w:right="28" w:firstLine="590" w:firstLineChars="245"/>
              <w:jc w:val="left"/>
              <w:rPr>
                <w:rFonts w:ascii="宋体" w:hAnsi="宋体" w:cs="Courier New"/>
                <w:b/>
                <w:color w:val="auto"/>
                <w:sz w:val="24"/>
                <w:szCs w:val="24"/>
                <w:highlight w:val="none"/>
              </w:rPr>
            </w:pPr>
          </w:p>
          <w:p>
            <w:pPr>
              <w:spacing w:line="360" w:lineRule="auto"/>
              <w:jc w:val="left"/>
              <w:rPr>
                <w:rFonts w:ascii="宋体" w:hAnsi="宋体" w:cs="宋体"/>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pPr>
              <w:spacing w:line="360" w:lineRule="auto"/>
              <w:rPr>
                <w:rFonts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09" w:type="dxa"/>
            <w:vMerge w:val="restart"/>
            <w:tcBorders>
              <w:top w:val="single" w:color="auto" w:sz="4" w:space="0"/>
              <w:left w:val="single" w:color="auto" w:sz="4" w:space="0"/>
              <w:right w:val="single" w:color="auto" w:sz="4" w:space="0"/>
            </w:tcBorders>
            <w:vAlign w:val="center"/>
          </w:tcPr>
          <w:p>
            <w:pPr>
              <w:spacing w:line="360" w:lineRule="auto"/>
              <w:ind w:right="0" w:firstLine="0" w:firstLineChars="0"/>
              <w:jc w:val="left"/>
              <w:rPr>
                <w:rFonts w:ascii="宋体" w:hAnsi="宋体"/>
                <w:b/>
                <w:color w:val="auto"/>
                <w:sz w:val="24"/>
                <w:szCs w:val="24"/>
                <w:highlight w:val="none"/>
              </w:rPr>
            </w:pPr>
            <w:r>
              <w:rPr>
                <w:rFonts w:ascii="宋体" w:hAnsi="宋体"/>
                <w:b/>
                <w:color w:val="auto"/>
                <w:sz w:val="24"/>
                <w:szCs w:val="24"/>
                <w:highlight w:val="none"/>
              </w:rPr>
              <w:t>二、</w:t>
            </w:r>
            <w:r>
              <w:rPr>
                <w:rFonts w:hint="eastAsia" w:ascii="宋体" w:hAnsi="宋体"/>
                <w:b/>
                <w:color w:val="auto"/>
                <w:sz w:val="24"/>
                <w:szCs w:val="24"/>
                <w:highlight w:val="none"/>
              </w:rPr>
              <w:t>采购要求</w:t>
            </w:r>
          </w:p>
          <w:p>
            <w:pPr>
              <w:spacing w:line="360" w:lineRule="auto"/>
              <w:jc w:val="center"/>
              <w:rPr>
                <w:rFonts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rPr>
                <w:rFonts w:ascii="宋体" w:hAnsi="宋体"/>
                <w:bCs/>
                <w:color w:val="auto"/>
                <w:sz w:val="24"/>
                <w:szCs w:val="24"/>
                <w:highlight w:val="none"/>
              </w:rPr>
            </w:pPr>
            <w:r>
              <w:rPr>
                <w:rFonts w:hint="eastAsia" w:ascii="宋体" w:hAnsi="宋体"/>
                <w:bCs/>
                <w:color w:val="auto"/>
                <w:sz w:val="24"/>
                <w:szCs w:val="24"/>
                <w:highlight w:val="none"/>
              </w:rPr>
              <w:t>1．中标供应商生产前提供具体图纸供使用单位确认方可生产，价格不得调整。</w:t>
            </w:r>
          </w:p>
          <w:p>
            <w:pPr>
              <w:spacing w:line="360" w:lineRule="auto"/>
              <w:ind w:firstLine="480" w:firstLineChars="200"/>
              <w:rPr>
                <w:rFonts w:ascii="宋体" w:hAnsi="宋体"/>
                <w:bCs/>
                <w:color w:val="auto"/>
                <w:sz w:val="24"/>
                <w:szCs w:val="24"/>
                <w:highlight w:val="none"/>
              </w:rPr>
            </w:pPr>
            <w:r>
              <w:rPr>
                <w:rFonts w:hint="eastAsia" w:ascii="宋体" w:hAnsi="宋体"/>
                <w:bCs/>
                <w:color w:val="auto"/>
                <w:sz w:val="24"/>
                <w:szCs w:val="24"/>
                <w:highlight w:val="none"/>
              </w:rPr>
              <w:t>2．投标人应严格按照招标文件的规格、数量、技术及材质等要求进行报价。</w:t>
            </w:r>
          </w:p>
          <w:p>
            <w:pPr>
              <w:spacing w:line="360" w:lineRule="auto"/>
              <w:ind w:firstLine="480" w:firstLineChars="200"/>
              <w:rPr>
                <w:rFonts w:ascii="宋体" w:hAnsi="宋体"/>
                <w:bCs/>
                <w:color w:val="auto"/>
                <w:sz w:val="24"/>
                <w:szCs w:val="24"/>
                <w:highlight w:val="none"/>
              </w:rPr>
            </w:pPr>
            <w:r>
              <w:rPr>
                <w:rFonts w:hint="eastAsia" w:ascii="宋体" w:hAnsi="宋体"/>
                <w:bCs/>
                <w:color w:val="auto"/>
                <w:sz w:val="24"/>
                <w:szCs w:val="24"/>
                <w:highlight w:val="none"/>
              </w:rPr>
              <w:t>3．投标人应在投标文件中提供主要生产设备清单（需提供主要生产加工设备、产地、数量、价值）。</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4．投标人应在投标文件中提供质量管理、技术力量说明（主要生产技术骨干、质管人员的数量和职称）。</w:t>
            </w:r>
          </w:p>
          <w:p>
            <w:pPr>
              <w:spacing w:before="0" w:beforeAutospacing="0" w:after="0" w:afterAutospacing="0" w:line="360" w:lineRule="auto"/>
              <w:ind w:firstLine="420" w:firstLineChars="200"/>
              <w:rPr>
                <w:rFonts w:cs="Times New Roman"/>
                <w:color w:val="auto"/>
                <w:kern w:val="2"/>
                <w:highlight w:val="none"/>
              </w:rPr>
            </w:pPr>
            <w:r>
              <w:rPr>
                <w:rFonts w:hint="eastAsia" w:cs="Times New Roman"/>
                <w:color w:val="auto"/>
                <w:kern w:val="2"/>
                <w:highlight w:val="none"/>
              </w:rPr>
              <w:t>5．投标人应根据国家标准(GB/T3324-2008木家具通用技术条件、GB/T3325-2008金属家具通用技术条件、GB 18584-2008木家具中有害物质限量、GB18583—2008 胶粘剂（溶剂型）中有害物质限量、GB18580—2001 人造板及其制品中甲醛释放限量、GB18581—2009 溶剂型木器涂料中有害物质限量、GB18582—2008 内墙涂料中有害物质限量、GB5296.6—2008 消费品使用说明（第6 部分家具）)、部颁标准(QB/T1951.1-2010 木家具、QB/T1951.2-2013 金属家具、QB/T1952.1-2012 软体家具沙发、QB/T2530-2011 木制柜）、人造木质板材执行标准：HBC17－2003、家具执行标准：HJ/T3030-2006、水性涂料执行标准：HJ/T 201─2005、胶粘剂执行标准：HJ/T 220-2005、其他国家及行业标准制作（上述标准若有更新，则以更新后的国家和部门标准执行），并在设计方案中详细说明家具的材料构成及辅材、配件(如材质、质量标准、厚度、产地、品牌、型号等)。</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6．投标人需在投标文件中提供上述货物的实物图、效果图、生产分解图、货物选用材料的说明文件。</w:t>
            </w:r>
          </w:p>
          <w:p>
            <w:pPr>
              <w:spacing w:line="360" w:lineRule="auto"/>
              <w:ind w:firstLine="480" w:firstLineChars="200"/>
              <w:jc w:val="left"/>
              <w:rPr>
                <w:rFonts w:ascii="宋体" w:hAnsi="宋体" w:cs="宋体"/>
                <w:color w:val="auto"/>
                <w:sz w:val="24"/>
                <w:szCs w:val="24"/>
                <w:highlight w:val="none"/>
              </w:rPr>
            </w:pPr>
            <w:r>
              <w:rPr>
                <w:rFonts w:hint="eastAsia" w:ascii="宋体" w:hAnsi="宋体"/>
                <w:color w:val="auto"/>
                <w:sz w:val="24"/>
                <w:szCs w:val="24"/>
                <w:highlight w:val="none"/>
              </w:rPr>
              <w:t>7．投标人需将以上货物的参考指标与所投货物的技术指标、参数，在投标文件中分别列出，一一对应。</w:t>
            </w:r>
          </w:p>
        </w:tc>
        <w:tc>
          <w:tcPr>
            <w:tcW w:w="77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pPr>
              <w:spacing w:line="360" w:lineRule="auto"/>
              <w:rPr>
                <w:rFonts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09" w:type="dxa"/>
            <w:vMerge w:val="restart"/>
            <w:tcBorders>
              <w:top w:val="single" w:color="auto" w:sz="4" w:space="0"/>
              <w:left w:val="single" w:color="auto" w:sz="4" w:space="0"/>
              <w:right w:val="single" w:color="auto" w:sz="4" w:space="0"/>
            </w:tcBorders>
            <w:vAlign w:val="center"/>
          </w:tcPr>
          <w:p>
            <w:pPr>
              <w:shd w:val="clear" w:color="auto" w:fill="FFFFFF"/>
              <w:spacing w:before="0" w:beforeAutospacing="0" w:after="0" w:afterAutospacing="0" w:line="360" w:lineRule="auto"/>
              <w:ind w:firstLine="0" w:firstLineChars="0"/>
              <w:rPr>
                <w:b/>
                <w:color w:val="auto"/>
                <w:highlight w:val="none"/>
              </w:rPr>
            </w:pPr>
            <w:r>
              <w:rPr>
                <w:rFonts w:hint="eastAsia"/>
                <w:b/>
                <w:color w:val="auto"/>
                <w:highlight w:val="none"/>
              </w:rPr>
              <w:t>四、商务响应要求</w:t>
            </w:r>
          </w:p>
          <w:p>
            <w:pPr>
              <w:spacing w:line="360" w:lineRule="auto"/>
              <w:jc w:val="center"/>
              <w:rPr>
                <w:rFonts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tcPr>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投标人应在投标文件中提供最近三年来在中国，同类家具项目的合同业绩证明材料（提供项目中标公告或中标通知书及合同复印件，加盖单位公章），需提供项目名称、合同金额、中标日期、联系人、用户评价。</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2.投标人应在投标文件中提供近三年以来地级市以上质量检测单位出具的成品抽样检测报告。</w:t>
            </w:r>
          </w:p>
          <w:p>
            <w:pPr>
              <w:spacing w:line="360" w:lineRule="auto"/>
              <w:ind w:firstLine="480" w:firstLineChars="200"/>
              <w:jc w:val="left"/>
              <w:rPr>
                <w:rFonts w:ascii="宋体" w:hAnsi="宋体" w:cs="宋体"/>
                <w:color w:val="auto"/>
                <w:sz w:val="24"/>
                <w:szCs w:val="24"/>
                <w:highlight w:val="none"/>
              </w:rPr>
            </w:pPr>
            <w:r>
              <w:rPr>
                <w:rFonts w:hint="eastAsia" w:ascii="宋体" w:hAnsi="宋体"/>
                <w:color w:val="auto"/>
                <w:sz w:val="24"/>
                <w:szCs w:val="24"/>
                <w:highlight w:val="none"/>
              </w:rPr>
              <w:t>3.投标人应在投标文件中提供生产合同管理计划保证书一份。</w:t>
            </w:r>
          </w:p>
        </w:tc>
        <w:tc>
          <w:tcPr>
            <w:tcW w:w="77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pPr>
              <w:spacing w:line="360" w:lineRule="auto"/>
              <w:rPr>
                <w:rFonts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09" w:type="dxa"/>
            <w:vMerge w:val="restart"/>
            <w:tcBorders>
              <w:top w:val="single" w:color="auto" w:sz="4" w:space="0"/>
              <w:left w:val="single" w:color="auto" w:sz="4" w:space="0"/>
              <w:right w:val="single" w:color="auto" w:sz="4" w:space="0"/>
            </w:tcBorders>
            <w:vAlign w:val="center"/>
          </w:tcPr>
          <w:p>
            <w:pPr>
              <w:spacing w:line="360" w:lineRule="auto"/>
              <w:ind w:left="0" w:leftChars="0" w:right="0" w:rightChars="0" w:firstLine="0" w:firstLineChars="0"/>
              <w:rPr>
                <w:rFonts w:ascii="宋体" w:hAnsi="宋体"/>
                <w:b/>
                <w:color w:val="auto"/>
                <w:sz w:val="24"/>
                <w:szCs w:val="24"/>
                <w:highlight w:val="none"/>
              </w:rPr>
            </w:pPr>
            <w:r>
              <w:rPr>
                <w:rFonts w:hint="eastAsia" w:ascii="宋体" w:hAnsi="宋体"/>
                <w:b/>
                <w:color w:val="auto"/>
                <w:sz w:val="24"/>
                <w:szCs w:val="24"/>
                <w:highlight w:val="none"/>
              </w:rPr>
              <w:t>五、货物质量标准、验收标准</w:t>
            </w:r>
          </w:p>
          <w:p>
            <w:pPr>
              <w:spacing w:line="360" w:lineRule="auto"/>
              <w:jc w:val="center"/>
              <w:rPr>
                <w:rFonts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tcPr>
          <w:p>
            <w:pPr>
              <w:spacing w:after="0" w:line="360" w:lineRule="auto"/>
              <w:ind w:left="0" w:leftChars="0" w:firstLine="480" w:firstLineChars="200"/>
              <w:rPr>
                <w:rFonts w:ascii="宋体" w:hAnsi="宋体"/>
                <w:color w:val="auto"/>
                <w:sz w:val="24"/>
                <w:highlight w:val="none"/>
              </w:rPr>
            </w:pPr>
            <w:r>
              <w:rPr>
                <w:rFonts w:hint="eastAsia" w:ascii="宋体" w:hAnsi="宋体"/>
                <w:color w:val="auto"/>
                <w:sz w:val="24"/>
                <w:highlight w:val="none"/>
              </w:rPr>
              <w:t>1．投标人提供货物的制造标准、安装标准、验收标准及技术规范等有关资料应符合国家规定的有关标准、规范要求。</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2．投标人应保证提供原产、全新、正宗品牌货物，不得用伪劣货物替代；如出现上述质量问题采购单位有权退货并解除合同。</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3．在生产过程或验收过程中发现中标供应商对中标货物进行分包、转包，采购单位有权单方解除合同并有权拒付全部货款，所有中标产品须有中标供应商的注册商标。</w:t>
            </w:r>
          </w:p>
          <w:p>
            <w:pPr>
              <w:spacing w:line="360" w:lineRule="auto"/>
              <w:ind w:firstLine="480" w:firstLineChars="200"/>
              <w:rPr>
                <w:rFonts w:ascii="宋体" w:hAnsi="宋体"/>
                <w:b/>
                <w:color w:val="auto"/>
                <w:sz w:val="24"/>
                <w:szCs w:val="24"/>
                <w:highlight w:val="none"/>
              </w:rPr>
            </w:pPr>
            <w:r>
              <w:rPr>
                <w:rFonts w:hint="eastAsia" w:ascii="宋体" w:hAnsi="宋体"/>
                <w:color w:val="auto"/>
                <w:sz w:val="24"/>
                <w:szCs w:val="24"/>
                <w:highlight w:val="none"/>
              </w:rPr>
              <w:t>4．货物安装所需的配件或附加件，在合同签订前由中标供应商提交具体清单给</w:t>
            </w:r>
            <w:r>
              <w:rPr>
                <w:rFonts w:hint="eastAsia" w:ascii="宋体" w:hAnsi="宋体"/>
                <w:bCs/>
                <w:color w:val="auto"/>
                <w:sz w:val="24"/>
                <w:szCs w:val="24"/>
                <w:highlight w:val="none"/>
              </w:rPr>
              <w:t>使用</w:t>
            </w:r>
            <w:r>
              <w:rPr>
                <w:rFonts w:hint="eastAsia" w:ascii="宋体" w:hAnsi="宋体"/>
                <w:color w:val="auto"/>
                <w:sz w:val="24"/>
                <w:szCs w:val="24"/>
                <w:highlight w:val="none"/>
              </w:rPr>
              <w:t>单位确认。</w:t>
            </w:r>
            <w:r>
              <w:rPr>
                <w:rFonts w:ascii="宋体" w:hAnsi="宋体"/>
                <w:b/>
                <w:color w:val="auto"/>
                <w:sz w:val="24"/>
                <w:szCs w:val="24"/>
                <w:highlight w:val="none"/>
              </w:rPr>
              <w:t>5.投标人必须在投标文件中书面承诺：中标后生产前，向使用单位确定所供货物的相关事项，经使用单位确认是否增减后方可投入生产。否则，由此产生的一切后果由中标供应商负责。</w:t>
            </w:r>
          </w:p>
          <w:p>
            <w:pPr>
              <w:pStyle w:val="7"/>
              <w:spacing w:line="360" w:lineRule="auto"/>
              <w:ind w:firstLine="480" w:firstLineChars="200"/>
              <w:rPr>
                <w:rFonts w:hAnsi="宋体"/>
                <w:color w:val="auto"/>
                <w:sz w:val="24"/>
                <w:szCs w:val="24"/>
                <w:highlight w:val="none"/>
              </w:rPr>
            </w:pPr>
            <w:r>
              <w:rPr>
                <w:rFonts w:hint="eastAsia" w:hAnsi="宋体"/>
                <w:color w:val="auto"/>
                <w:sz w:val="24"/>
                <w:szCs w:val="24"/>
                <w:highlight w:val="none"/>
              </w:rPr>
              <w:t>6、货物初验：货物运抵采购单位指定地点后由</w:t>
            </w:r>
            <w:r>
              <w:rPr>
                <w:rFonts w:hint="eastAsia" w:hAnsi="宋体"/>
                <w:bCs/>
                <w:color w:val="auto"/>
                <w:sz w:val="24"/>
                <w:szCs w:val="24"/>
                <w:highlight w:val="none"/>
              </w:rPr>
              <w:t>使用</w:t>
            </w:r>
            <w:r>
              <w:rPr>
                <w:rFonts w:hint="eastAsia" w:hAnsi="宋体"/>
                <w:color w:val="auto"/>
                <w:sz w:val="24"/>
                <w:szCs w:val="24"/>
                <w:highlight w:val="none"/>
              </w:rPr>
              <w:t>单位对照采购清单对外观、包装及数量进行验收。到货初验时，中标供应商代表必须在场。同时，中标供应商必须提供货物的相关手续（品牌证书、装箱清单含货物的主附件、原产地证明书、品质保证书、出厂检验报告、合格证书、使用及维护说明书）。每件产品必须说明材质、规格、涂料、粘合剂等及是否含有毒、有害物质等情况。</w:t>
            </w:r>
          </w:p>
          <w:p>
            <w:pPr>
              <w:pStyle w:val="7"/>
              <w:tabs>
                <w:tab w:val="left" w:pos="540"/>
              </w:tabs>
              <w:spacing w:line="360" w:lineRule="auto"/>
              <w:ind w:firstLine="480" w:firstLineChars="200"/>
              <w:rPr>
                <w:rFonts w:hAnsi="宋体"/>
                <w:color w:val="auto"/>
                <w:sz w:val="24"/>
                <w:szCs w:val="24"/>
                <w:highlight w:val="none"/>
              </w:rPr>
            </w:pPr>
            <w:r>
              <w:rPr>
                <w:rFonts w:hint="eastAsia" w:hAnsi="宋体"/>
                <w:color w:val="auto"/>
                <w:sz w:val="24"/>
                <w:szCs w:val="24"/>
                <w:highlight w:val="none"/>
              </w:rPr>
              <w:t>7.最终验收：中标供应商负责现场安装、调试，待性能指标经验收合格后（附验收报告），中标供应商应与采购单位共同签署《厦门市政府采购验收报告》。</w:t>
            </w:r>
          </w:p>
          <w:p>
            <w:pPr>
              <w:spacing w:line="360" w:lineRule="auto"/>
              <w:ind w:firstLine="482" w:firstLineChars="200"/>
              <w:rPr>
                <w:rFonts w:ascii="宋体" w:hAnsi="宋体"/>
                <w:b/>
                <w:color w:val="auto"/>
                <w:sz w:val="24"/>
                <w:szCs w:val="24"/>
                <w:highlight w:val="none"/>
              </w:rPr>
            </w:pPr>
            <w:r>
              <w:rPr>
                <w:rFonts w:ascii="宋体" w:hAnsi="宋体"/>
                <w:b/>
                <w:color w:val="auto"/>
                <w:sz w:val="24"/>
                <w:szCs w:val="24"/>
                <w:highlight w:val="none"/>
              </w:rPr>
              <w:t>8.投标人必须在投标文件中书面承诺：一旦中标，在生产本次采购家具的过程中，邀请使用单位代表到工厂对产品从进料、开胚、上漆、成型等一系列生产程序进行检查、监督；使用单位根据合同进度可以采用书面函件形式要求投标人对生产情况合理改进，投标人应予书面答复，并制定完整的整改措施。</w:t>
            </w:r>
          </w:p>
          <w:p>
            <w:pPr>
              <w:pStyle w:val="7"/>
              <w:spacing w:line="360" w:lineRule="auto"/>
              <w:ind w:firstLine="480" w:firstLineChars="200"/>
              <w:rPr>
                <w:rFonts w:hAnsi="宋体"/>
                <w:color w:val="auto"/>
                <w:sz w:val="24"/>
                <w:szCs w:val="24"/>
                <w:highlight w:val="none"/>
              </w:rPr>
            </w:pPr>
            <w:r>
              <w:rPr>
                <w:rFonts w:hint="eastAsia" w:hAnsi="宋体"/>
                <w:color w:val="auto"/>
                <w:sz w:val="24"/>
                <w:szCs w:val="24"/>
                <w:highlight w:val="none"/>
              </w:rPr>
              <w:t>9.投标人不得虚报各项技术指标，中标产品若不能符合技术要求、招标文件及合同约定的，采购单位有权退货并单方解除合同，中标供应商除退还所有的货款外，还应向支付合同总价50%的违约金。</w:t>
            </w:r>
          </w:p>
          <w:p>
            <w:pPr>
              <w:spacing w:line="360" w:lineRule="auto"/>
              <w:ind w:firstLine="482" w:firstLineChars="200"/>
              <w:rPr>
                <w:rFonts w:ascii="宋体" w:hAnsi="宋体" w:cs="宋体"/>
                <w:b/>
                <w:color w:val="auto"/>
                <w:sz w:val="24"/>
                <w:szCs w:val="24"/>
                <w:highlight w:val="none"/>
              </w:rPr>
            </w:pPr>
            <w:r>
              <w:rPr>
                <w:rFonts w:hint="eastAsia" w:ascii="宋体" w:hAnsi="宋体"/>
                <w:b/>
                <w:color w:val="auto"/>
                <w:sz w:val="24"/>
                <w:szCs w:val="24"/>
                <w:highlight w:val="none"/>
              </w:rPr>
              <w:t>10.投标人必须在投标文件中书面承诺：一旦中标，</w:t>
            </w:r>
            <w:r>
              <w:rPr>
                <w:rFonts w:hint="eastAsia" w:ascii="宋体" w:hAnsi="宋体" w:cs="宋体"/>
                <w:b/>
                <w:color w:val="auto"/>
                <w:sz w:val="24"/>
                <w:szCs w:val="24"/>
                <w:highlight w:val="none"/>
              </w:rPr>
              <w:t>在保证按采购文件中要求提供的产品数量进行供货外，还应保证能够免费提供足够的样品供使用单位邀请相关部门对其在封闭式的环境中进行开放性的检测；如经检测家具环保等指标达不到国家以及采购文件中的要求，报价人应按中标价的2倍金额赔偿给采购单位。</w:t>
            </w:r>
          </w:p>
          <w:p>
            <w:pPr>
              <w:spacing w:line="360" w:lineRule="auto"/>
              <w:ind w:firstLine="480" w:firstLineChars="200"/>
              <w:jc w:val="left"/>
              <w:rPr>
                <w:rFonts w:ascii="宋体" w:hAnsi="宋体" w:cs="宋体"/>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pPr>
              <w:spacing w:line="360" w:lineRule="auto"/>
              <w:rPr>
                <w:rFonts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09" w:type="dxa"/>
            <w:vMerge w:val="restart"/>
            <w:tcBorders>
              <w:top w:val="single" w:color="auto" w:sz="4" w:space="0"/>
              <w:left w:val="single" w:color="auto" w:sz="4" w:space="0"/>
              <w:right w:val="single" w:color="auto" w:sz="4" w:space="0"/>
            </w:tcBorders>
            <w:vAlign w:val="center"/>
          </w:tcPr>
          <w:p>
            <w:pPr>
              <w:spacing w:line="360" w:lineRule="auto"/>
              <w:rPr>
                <w:rFonts w:ascii="宋体" w:hAnsi="宋体"/>
                <w:b/>
                <w:color w:val="auto"/>
                <w:sz w:val="24"/>
                <w:szCs w:val="24"/>
                <w:highlight w:val="none"/>
              </w:rPr>
            </w:pPr>
            <w:r>
              <w:rPr>
                <w:rFonts w:hint="eastAsia" w:ascii="宋体" w:hAnsi="宋体"/>
                <w:b/>
                <w:color w:val="auto"/>
                <w:sz w:val="24"/>
                <w:szCs w:val="24"/>
                <w:highlight w:val="none"/>
              </w:rPr>
              <w:t>六、货物技术服务要求</w:t>
            </w:r>
          </w:p>
          <w:p>
            <w:pPr>
              <w:spacing w:line="360" w:lineRule="auto"/>
              <w:jc w:val="center"/>
              <w:rPr>
                <w:rFonts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pPr>
              <w:pStyle w:val="7"/>
              <w:spacing w:line="360" w:lineRule="auto"/>
              <w:ind w:firstLine="480" w:firstLineChars="200"/>
              <w:rPr>
                <w:rFonts w:hAnsi="宋体"/>
                <w:color w:val="auto"/>
                <w:sz w:val="24"/>
                <w:szCs w:val="24"/>
                <w:highlight w:val="none"/>
              </w:rPr>
            </w:pPr>
            <w:r>
              <w:rPr>
                <w:rFonts w:hint="eastAsia" w:hAnsi="宋体"/>
                <w:color w:val="auto"/>
                <w:sz w:val="24"/>
                <w:szCs w:val="24"/>
                <w:highlight w:val="none"/>
              </w:rPr>
              <w:t>2.投标人应单独列出质保期后年维护费用（全包，包括零配件费用等包干计取，按总报价的百分之几报价）,待质保期过后按实际发生的维护情况由投标人提供相应的票据经采购单位确认后结算（结算金额不超过此项报价）。投标人应提供免费技术支持力度等情况。</w:t>
            </w:r>
          </w:p>
          <w:p>
            <w:pPr>
              <w:pStyle w:val="7"/>
              <w:spacing w:line="360" w:lineRule="auto"/>
              <w:ind w:firstLine="480" w:firstLineChars="200"/>
              <w:rPr>
                <w:rFonts w:hAnsi="宋体"/>
                <w:color w:val="auto"/>
                <w:sz w:val="24"/>
                <w:szCs w:val="24"/>
                <w:highlight w:val="none"/>
              </w:rPr>
            </w:pPr>
            <w:r>
              <w:rPr>
                <w:rFonts w:hint="eastAsia" w:hAnsi="宋体"/>
                <w:color w:val="auto"/>
                <w:sz w:val="24"/>
                <w:szCs w:val="24"/>
                <w:highlight w:val="none"/>
              </w:rPr>
              <w:t>3.投标人能长期提供良好的技术支持及备品备件的优惠供应。</w:t>
            </w:r>
          </w:p>
          <w:p>
            <w:pPr>
              <w:pStyle w:val="7"/>
              <w:spacing w:line="360" w:lineRule="auto"/>
              <w:ind w:firstLine="480" w:firstLineChars="200"/>
              <w:rPr>
                <w:rFonts w:ascii="宋体" w:hAnsi="宋体" w:cs="宋体"/>
                <w:color w:val="auto"/>
                <w:sz w:val="24"/>
                <w:szCs w:val="24"/>
                <w:highlight w:val="none"/>
              </w:rPr>
            </w:pPr>
            <w:r>
              <w:rPr>
                <w:rFonts w:hint="eastAsia" w:hAnsi="宋体"/>
                <w:color w:val="auto"/>
                <w:sz w:val="24"/>
                <w:szCs w:val="24"/>
                <w:highlight w:val="none"/>
              </w:rPr>
              <w:t>4.投标人如有其它更好的售后服务应在方案中书面声明。</w:t>
            </w:r>
          </w:p>
        </w:tc>
        <w:tc>
          <w:tcPr>
            <w:tcW w:w="77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pPr>
              <w:spacing w:line="360" w:lineRule="auto"/>
              <w:rPr>
                <w:rFonts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60" w:lineRule="auto"/>
              <w:ind w:right="0" w:rightChars="0" w:firstLine="0" w:firstLineChars="0"/>
              <w:rPr>
                <w:rFonts w:ascii="宋体" w:hAnsi="宋体"/>
                <w:b/>
                <w:color w:val="auto"/>
                <w:sz w:val="24"/>
                <w:szCs w:val="24"/>
                <w:highlight w:val="none"/>
              </w:rPr>
            </w:pPr>
            <w:r>
              <w:rPr>
                <w:rFonts w:hint="eastAsia" w:ascii="宋体" w:hAnsi="宋体"/>
                <w:b/>
                <w:color w:val="auto"/>
                <w:sz w:val="24"/>
                <w:szCs w:val="24"/>
                <w:highlight w:val="none"/>
              </w:rPr>
              <w:t>七、货物报价</w:t>
            </w:r>
          </w:p>
          <w:p>
            <w:pPr>
              <w:spacing w:line="360" w:lineRule="auto"/>
              <w:jc w:val="center"/>
              <w:rPr>
                <w:rFonts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pPr>
              <w:spacing w:line="360" w:lineRule="auto"/>
              <w:ind w:firstLine="498" w:firstLineChars="200"/>
              <w:rPr>
                <w:rFonts w:ascii="宋体" w:hAnsi="宋体"/>
                <w:b/>
                <w:color w:val="auto"/>
                <w:sz w:val="24"/>
                <w:highlight w:val="none"/>
              </w:rPr>
            </w:pPr>
            <w:r>
              <w:rPr>
                <w:rFonts w:hint="eastAsia" w:ascii="宋体" w:hAnsi="宋体"/>
                <w:b/>
                <w:color w:val="auto"/>
                <w:spacing w:val="4"/>
                <w:sz w:val="24"/>
                <w:highlight w:val="none"/>
              </w:rPr>
              <w:t>3.</w:t>
            </w:r>
            <w:r>
              <w:rPr>
                <w:rFonts w:hint="eastAsia" w:ascii="宋体" w:hAnsi="宋体"/>
                <w:b/>
                <w:color w:val="auto"/>
                <w:sz w:val="24"/>
                <w:highlight w:val="none"/>
              </w:rPr>
              <w:t>报价应分单价、小计、总价。</w:t>
            </w:r>
          </w:p>
          <w:p>
            <w:pPr>
              <w:spacing w:line="360" w:lineRule="auto"/>
              <w:ind w:firstLine="480" w:firstLineChars="200"/>
              <w:rPr>
                <w:rFonts w:ascii="宋体" w:hAnsi="宋体" w:cs="宋体"/>
                <w:color w:val="auto"/>
                <w:sz w:val="24"/>
                <w:szCs w:val="24"/>
                <w:highlight w:val="none"/>
              </w:rPr>
            </w:pPr>
            <w:r>
              <w:rPr>
                <w:rFonts w:hint="eastAsia" w:ascii="宋体" w:hAnsi="宋体"/>
                <w:color w:val="auto"/>
                <w:sz w:val="24"/>
                <w:szCs w:val="24"/>
                <w:highlight w:val="none"/>
              </w:rPr>
              <w:t>4.投标文件中标明的价格在合同执行过程中是固定不变的，不得以任何理由予以变更。以可变动价格提交的报价将被认为是非实质响应而被拒绝。</w:t>
            </w:r>
          </w:p>
        </w:tc>
        <w:tc>
          <w:tcPr>
            <w:tcW w:w="77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pPr>
              <w:spacing w:line="360" w:lineRule="auto"/>
              <w:rPr>
                <w:rFonts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pPr>
              <w:spacing w:line="360" w:lineRule="auto"/>
              <w:ind w:right="0" w:rightChars="0" w:firstLine="0"/>
              <w:rPr>
                <w:rFonts w:ascii="宋体" w:hAnsi="宋体"/>
                <w:b/>
                <w:color w:val="auto"/>
                <w:sz w:val="24"/>
                <w:szCs w:val="24"/>
                <w:highlight w:val="none"/>
              </w:rPr>
            </w:pPr>
            <w:r>
              <w:rPr>
                <w:rFonts w:hint="eastAsia" w:ascii="宋体" w:hAnsi="宋体"/>
                <w:b/>
                <w:color w:val="auto"/>
                <w:sz w:val="24"/>
                <w:szCs w:val="24"/>
                <w:highlight w:val="none"/>
              </w:rPr>
              <w:t>八、付款方式</w:t>
            </w:r>
          </w:p>
          <w:p>
            <w:pPr>
              <w:spacing w:line="360" w:lineRule="auto"/>
              <w:jc w:val="center"/>
              <w:rPr>
                <w:rFonts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vAlign w:val="center"/>
          </w:tcPr>
          <w:p>
            <w:pPr>
              <w:spacing w:line="360" w:lineRule="auto"/>
              <w:ind w:firstLine="482" w:firstLineChars="200"/>
              <w:rPr>
                <w:rFonts w:ascii="宋体" w:hAnsi="宋体" w:eastAsia="宋体"/>
                <w:b/>
                <w:color w:val="auto"/>
                <w:kern w:val="0"/>
                <w:sz w:val="24"/>
                <w:szCs w:val="24"/>
                <w:highlight w:val="none"/>
              </w:rPr>
            </w:pPr>
            <w:r>
              <w:rPr>
                <w:rFonts w:hint="eastAsia" w:ascii="宋体" w:hAnsi="宋体" w:eastAsia="宋体"/>
                <w:b/>
                <w:color w:val="auto"/>
                <w:kern w:val="0"/>
                <w:sz w:val="24"/>
                <w:szCs w:val="24"/>
                <w:highlight w:val="none"/>
                <w:lang w:val="en-US" w:eastAsia="zh-CN"/>
              </w:rPr>
              <w:t>1</w:t>
            </w:r>
            <w:r>
              <w:rPr>
                <w:rFonts w:ascii="宋体" w:hAnsi="宋体" w:eastAsia="宋体"/>
                <w:b/>
                <w:color w:val="auto"/>
                <w:kern w:val="0"/>
                <w:sz w:val="24"/>
                <w:szCs w:val="24"/>
                <w:highlight w:val="none"/>
              </w:rPr>
              <w:t>.付款方式：</w:t>
            </w:r>
          </w:p>
          <w:p>
            <w:pPr>
              <w:spacing w:line="360" w:lineRule="auto"/>
              <w:ind w:firstLine="482" w:firstLineChars="200"/>
              <w:rPr>
                <w:rFonts w:ascii="宋体" w:hAnsi="宋体" w:eastAsia="宋体"/>
                <w:b/>
                <w:color w:val="auto"/>
                <w:kern w:val="0"/>
                <w:sz w:val="24"/>
                <w:szCs w:val="24"/>
                <w:highlight w:val="none"/>
              </w:rPr>
            </w:pPr>
            <w:r>
              <w:rPr>
                <w:rFonts w:hint="eastAsia" w:ascii="宋体" w:hAnsi="宋体" w:eastAsia="宋体"/>
                <w:b/>
                <w:color w:val="auto"/>
                <w:kern w:val="0"/>
                <w:sz w:val="24"/>
                <w:szCs w:val="24"/>
                <w:highlight w:val="none"/>
                <w:lang w:val="en-US" w:eastAsia="zh-CN"/>
              </w:rPr>
              <w:t>1</w:t>
            </w:r>
            <w:r>
              <w:rPr>
                <w:rFonts w:ascii="宋体" w:hAnsi="宋体" w:eastAsia="宋体"/>
                <w:b/>
                <w:color w:val="auto"/>
                <w:kern w:val="0"/>
                <w:sz w:val="24"/>
                <w:szCs w:val="24"/>
                <w:highlight w:val="none"/>
              </w:rPr>
              <w:t>.1</w:t>
            </w:r>
            <w:r>
              <w:rPr>
                <w:rFonts w:hint="eastAsia" w:ascii="宋体" w:hAnsi="宋体" w:eastAsia="宋体"/>
                <w:b/>
                <w:color w:val="auto"/>
                <w:sz w:val="24"/>
                <w:szCs w:val="24"/>
                <w:highlight w:val="none"/>
              </w:rPr>
              <w:t>合同签订后</w:t>
            </w:r>
            <w:r>
              <w:rPr>
                <w:rFonts w:ascii="宋体" w:hAnsi="宋体" w:eastAsia="宋体"/>
                <w:b/>
                <w:color w:val="auto"/>
                <w:sz w:val="24"/>
                <w:szCs w:val="24"/>
                <w:highlight w:val="none"/>
              </w:rPr>
              <w:t>10个工作日内，</w:t>
            </w:r>
            <w:r>
              <w:rPr>
                <w:rFonts w:hint="eastAsia" w:ascii="宋体" w:hAnsi="宋体" w:eastAsia="宋体"/>
                <w:b/>
                <w:color w:val="auto"/>
                <w:sz w:val="24"/>
                <w:szCs w:val="24"/>
                <w:highlight w:val="none"/>
              </w:rPr>
              <w:t>采购单位在收到使用单位的款项后</w:t>
            </w:r>
            <w:r>
              <w:rPr>
                <w:rFonts w:ascii="宋体" w:hAnsi="宋体" w:eastAsia="宋体"/>
                <w:b/>
                <w:color w:val="auto"/>
                <w:sz w:val="24"/>
                <w:szCs w:val="24"/>
                <w:highlight w:val="none"/>
              </w:rPr>
              <w:t>向</w:t>
            </w:r>
            <w:r>
              <w:rPr>
                <w:rFonts w:hint="eastAsia" w:ascii="宋体" w:hAnsi="宋体" w:eastAsia="宋体"/>
                <w:b/>
                <w:color w:val="auto"/>
                <w:sz w:val="24"/>
                <w:szCs w:val="24"/>
                <w:highlight w:val="none"/>
              </w:rPr>
              <w:t>中标供应商</w:t>
            </w:r>
            <w:r>
              <w:rPr>
                <w:rFonts w:ascii="宋体" w:hAnsi="宋体" w:eastAsia="宋体"/>
                <w:b/>
                <w:color w:val="auto"/>
                <w:sz w:val="24"/>
                <w:szCs w:val="24"/>
                <w:highlight w:val="none"/>
              </w:rPr>
              <w:t>支付合同总价的</w:t>
            </w:r>
            <w:r>
              <w:rPr>
                <w:rFonts w:hint="eastAsia" w:ascii="宋体" w:hAnsi="宋体" w:eastAsia="宋体"/>
                <w:b/>
                <w:color w:val="auto"/>
                <w:sz w:val="24"/>
                <w:szCs w:val="24"/>
                <w:highlight w:val="none"/>
              </w:rPr>
              <w:t>5</w:t>
            </w:r>
            <w:r>
              <w:rPr>
                <w:rFonts w:ascii="宋体" w:hAnsi="宋体" w:eastAsia="宋体"/>
                <w:b/>
                <w:color w:val="auto"/>
                <w:sz w:val="24"/>
                <w:szCs w:val="24"/>
                <w:highlight w:val="none"/>
              </w:rPr>
              <w:t>0%</w:t>
            </w:r>
            <w:r>
              <w:rPr>
                <w:rFonts w:hint="eastAsia" w:ascii="宋体" w:hAnsi="宋体" w:eastAsia="宋体"/>
                <w:b/>
                <w:color w:val="auto"/>
                <w:sz w:val="24"/>
                <w:szCs w:val="24"/>
                <w:highlight w:val="none"/>
              </w:rPr>
              <w:t>的</w:t>
            </w:r>
            <w:r>
              <w:rPr>
                <w:rFonts w:ascii="宋体" w:hAnsi="宋体" w:eastAsia="宋体"/>
                <w:b/>
                <w:color w:val="auto"/>
                <w:sz w:val="24"/>
                <w:szCs w:val="24"/>
                <w:highlight w:val="none"/>
              </w:rPr>
              <w:t>预付款。</w:t>
            </w:r>
          </w:p>
          <w:p>
            <w:pPr>
              <w:spacing w:line="360" w:lineRule="auto"/>
              <w:ind w:firstLine="378" w:firstLineChars="0"/>
              <w:rPr>
                <w:color w:val="auto"/>
                <w:szCs w:val="24"/>
                <w:highlight w:val="none"/>
              </w:rPr>
            </w:pPr>
            <w:r>
              <w:rPr>
                <w:rFonts w:hint="eastAsia" w:ascii="宋体" w:hAnsi="宋体"/>
                <w:b/>
                <w:color w:val="auto"/>
                <w:kern w:val="0"/>
                <w:sz w:val="24"/>
                <w:szCs w:val="24"/>
                <w:highlight w:val="none"/>
                <w:lang w:val="en-US" w:eastAsia="zh-CN"/>
              </w:rPr>
              <w:t>1</w:t>
            </w:r>
            <w:r>
              <w:rPr>
                <w:rFonts w:ascii="宋体" w:hAnsi="宋体"/>
                <w:b/>
                <w:color w:val="auto"/>
                <w:kern w:val="0"/>
                <w:sz w:val="24"/>
                <w:szCs w:val="24"/>
                <w:highlight w:val="none"/>
              </w:rPr>
              <w:t>.2</w:t>
            </w:r>
            <w:r>
              <w:rPr>
                <w:rFonts w:hint="eastAsia" w:ascii="宋体" w:hAnsi="宋体"/>
                <w:b/>
                <w:color w:val="auto"/>
                <w:sz w:val="24"/>
                <w:szCs w:val="24"/>
                <w:highlight w:val="none"/>
              </w:rPr>
              <w:t>中标供应商</w:t>
            </w:r>
            <w:r>
              <w:rPr>
                <w:rFonts w:ascii="宋体" w:hAnsi="宋体"/>
                <w:b/>
                <w:color w:val="auto"/>
                <w:sz w:val="24"/>
                <w:szCs w:val="24"/>
                <w:highlight w:val="none"/>
              </w:rPr>
              <w:t>供货安装、调试完毕，</w:t>
            </w:r>
            <w:r>
              <w:rPr>
                <w:rFonts w:hint="eastAsia" w:ascii="宋体" w:hAnsi="宋体"/>
                <w:b/>
                <w:color w:val="auto"/>
                <w:sz w:val="24"/>
                <w:szCs w:val="24"/>
                <w:highlight w:val="none"/>
              </w:rPr>
              <w:t>使用单位</w:t>
            </w:r>
            <w:r>
              <w:rPr>
                <w:rFonts w:ascii="宋体" w:hAnsi="宋体"/>
                <w:b/>
                <w:color w:val="auto"/>
                <w:sz w:val="24"/>
                <w:szCs w:val="24"/>
                <w:highlight w:val="none"/>
              </w:rPr>
              <w:t>验收合格后，</w:t>
            </w:r>
            <w:r>
              <w:rPr>
                <w:rFonts w:hint="eastAsia" w:ascii="宋体" w:hAnsi="宋体"/>
                <w:b/>
                <w:color w:val="auto"/>
                <w:sz w:val="24"/>
                <w:szCs w:val="24"/>
                <w:highlight w:val="none"/>
              </w:rPr>
              <w:t>中标供应商</w:t>
            </w:r>
            <w:r>
              <w:rPr>
                <w:rFonts w:ascii="宋体" w:hAnsi="宋体"/>
                <w:b/>
                <w:color w:val="auto"/>
                <w:sz w:val="24"/>
                <w:szCs w:val="24"/>
                <w:highlight w:val="none"/>
              </w:rPr>
              <w:t>开具</w:t>
            </w:r>
            <w:r>
              <w:rPr>
                <w:rFonts w:hint="eastAsia" w:ascii="宋体" w:hAnsi="宋体" w:cs="宋体"/>
                <w:b/>
                <w:color w:val="auto"/>
                <w:sz w:val="24"/>
                <w:szCs w:val="24"/>
                <w:highlight w:val="none"/>
              </w:rPr>
              <w:t>合同总价</w:t>
            </w:r>
            <w:r>
              <w:rPr>
                <w:rFonts w:ascii="宋体" w:hAnsi="宋体" w:cs="宋体"/>
                <w:b/>
                <w:color w:val="auto"/>
                <w:sz w:val="24"/>
                <w:szCs w:val="24"/>
                <w:highlight w:val="none"/>
              </w:rPr>
              <w:t>100%的正规发票和</w:t>
            </w:r>
            <w:r>
              <w:rPr>
                <w:rFonts w:ascii="宋体" w:hAnsi="宋体"/>
                <w:b/>
                <w:color w:val="auto"/>
                <w:sz w:val="24"/>
                <w:szCs w:val="24"/>
                <w:highlight w:val="none"/>
              </w:rPr>
              <w:t>全部货物清单给</w:t>
            </w:r>
            <w:r>
              <w:rPr>
                <w:rFonts w:hint="eastAsia" w:ascii="宋体" w:hAnsi="宋体"/>
                <w:b/>
                <w:color w:val="auto"/>
                <w:sz w:val="24"/>
                <w:szCs w:val="24"/>
                <w:highlight w:val="none"/>
              </w:rPr>
              <w:t>采购单位</w:t>
            </w:r>
            <w:r>
              <w:rPr>
                <w:rFonts w:ascii="宋体" w:hAnsi="宋体"/>
                <w:b/>
                <w:color w:val="auto"/>
                <w:sz w:val="24"/>
                <w:szCs w:val="24"/>
                <w:highlight w:val="none"/>
              </w:rPr>
              <w:t>，</w:t>
            </w:r>
            <w:r>
              <w:rPr>
                <w:rFonts w:hint="eastAsia" w:ascii="宋体" w:hAnsi="宋体"/>
                <w:b/>
                <w:color w:val="auto"/>
                <w:sz w:val="24"/>
                <w:szCs w:val="24"/>
                <w:highlight w:val="none"/>
              </w:rPr>
              <w:t>采购单位在收到使用单位的款项</w:t>
            </w:r>
            <w:r>
              <w:rPr>
                <w:rFonts w:ascii="宋体" w:hAnsi="宋体"/>
                <w:b/>
                <w:color w:val="auto"/>
                <w:sz w:val="24"/>
                <w:szCs w:val="24"/>
                <w:highlight w:val="none"/>
              </w:rPr>
              <w:t>向</w:t>
            </w:r>
            <w:r>
              <w:rPr>
                <w:rFonts w:hint="eastAsia" w:ascii="宋体" w:hAnsi="宋体"/>
                <w:b/>
                <w:color w:val="auto"/>
                <w:sz w:val="24"/>
                <w:szCs w:val="24"/>
                <w:highlight w:val="none"/>
              </w:rPr>
              <w:t>中标供应商</w:t>
            </w:r>
            <w:r>
              <w:rPr>
                <w:rFonts w:ascii="宋体" w:hAnsi="宋体"/>
                <w:b/>
                <w:color w:val="auto"/>
                <w:sz w:val="24"/>
                <w:szCs w:val="24"/>
                <w:highlight w:val="none"/>
              </w:rPr>
              <w:t>支</w:t>
            </w:r>
            <w:r>
              <w:rPr>
                <w:rFonts w:hint="eastAsia" w:ascii="宋体" w:hAnsi="宋体"/>
                <w:b/>
                <w:color w:val="auto"/>
                <w:sz w:val="24"/>
                <w:szCs w:val="24"/>
                <w:highlight w:val="none"/>
              </w:rPr>
              <w:t>付合同总价的5</w:t>
            </w:r>
            <w:r>
              <w:rPr>
                <w:rFonts w:ascii="宋体" w:hAnsi="宋体"/>
                <w:b/>
                <w:color w:val="auto"/>
                <w:sz w:val="24"/>
                <w:szCs w:val="24"/>
                <w:highlight w:val="none"/>
              </w:rPr>
              <w:t>0%的款项。</w:t>
            </w:r>
          </w:p>
          <w:p>
            <w:pPr>
              <w:spacing w:line="360" w:lineRule="auto"/>
              <w:ind w:firstLine="480" w:firstLineChars="200"/>
              <w:rPr>
                <w:rFonts w:hint="eastAsia" w:ascii="宋体" w:hAnsi="宋体"/>
                <w:color w:val="auto"/>
                <w:sz w:val="24"/>
                <w:szCs w:val="24"/>
                <w:highlight w:val="none"/>
              </w:rPr>
            </w:pPr>
          </w:p>
        </w:tc>
        <w:tc>
          <w:tcPr>
            <w:tcW w:w="77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0" w:type="dxa"/>
            <w:vMerge w:val="continue"/>
            <w:tcBorders>
              <w:left w:val="single" w:color="auto" w:sz="4" w:space="0"/>
              <w:right w:val="single" w:color="auto" w:sz="4" w:space="0"/>
            </w:tcBorders>
            <w:vAlign w:val="center"/>
          </w:tcPr>
          <w:p>
            <w:pPr>
              <w:spacing w:line="360" w:lineRule="auto"/>
              <w:rPr>
                <w:rFonts w:ascii="宋体" w:hAnsi="宋体" w:cs="宋体"/>
                <w:color w:val="auto"/>
                <w:sz w:val="24"/>
                <w:szCs w:val="24"/>
                <w:highlight w:val="none"/>
              </w:rPr>
            </w:pPr>
          </w:p>
        </w:tc>
        <w:tc>
          <w:tcPr>
            <w:tcW w:w="707" w:type="dxa"/>
            <w:vMerge w:val="continue"/>
            <w:tcBorders>
              <w:left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09" w:type="dxa"/>
            <w:tcBorders>
              <w:left w:val="single" w:color="auto" w:sz="4" w:space="0"/>
              <w:right w:val="single" w:color="auto" w:sz="4" w:space="0"/>
            </w:tcBorders>
            <w:vAlign w:val="center"/>
          </w:tcPr>
          <w:p>
            <w:pPr>
              <w:spacing w:line="360" w:lineRule="auto"/>
              <w:ind w:firstLine="0"/>
              <w:rPr>
                <w:rFonts w:ascii="宋体" w:hAnsi="宋体"/>
                <w:b/>
                <w:color w:val="auto"/>
                <w:sz w:val="24"/>
                <w:szCs w:val="24"/>
                <w:highlight w:val="none"/>
              </w:rPr>
            </w:pPr>
            <w:r>
              <w:rPr>
                <w:rFonts w:hint="eastAsia" w:ascii="宋体" w:hAnsi="宋体"/>
                <w:b/>
                <w:color w:val="auto"/>
                <w:sz w:val="24"/>
                <w:szCs w:val="24"/>
                <w:highlight w:val="none"/>
              </w:rPr>
              <w:t>九、合同签订</w:t>
            </w:r>
          </w:p>
          <w:p>
            <w:pPr>
              <w:spacing w:line="360" w:lineRule="auto"/>
              <w:jc w:val="center"/>
              <w:rPr>
                <w:rFonts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tcPr>
          <w:p>
            <w:pPr>
              <w:spacing w:line="360" w:lineRule="auto"/>
              <w:ind w:firstLine="378" w:firstLineChars="0"/>
              <w:rPr>
                <w:rFonts w:ascii="宋体" w:hAnsi="宋体"/>
                <w:color w:val="auto"/>
                <w:sz w:val="24"/>
                <w:szCs w:val="24"/>
                <w:highlight w:val="none"/>
              </w:rPr>
            </w:pPr>
            <w:r>
              <w:rPr>
                <w:rFonts w:hint="eastAsia" w:ascii="宋体" w:hAnsi="宋体"/>
                <w:color w:val="auto"/>
                <w:sz w:val="24"/>
                <w:szCs w:val="24"/>
                <w:highlight w:val="none"/>
              </w:rPr>
              <w:t>1.中标供应商接到中标通知书后20个日历日内，持中标通知书与采购单位签订合同。</w:t>
            </w:r>
          </w:p>
          <w:p>
            <w:pPr>
              <w:pStyle w:val="8"/>
              <w:spacing w:after="0" w:line="360" w:lineRule="auto"/>
              <w:ind w:left="0"/>
              <w:rPr>
                <w:rFonts w:ascii="宋体" w:hAnsi="宋体" w:cs="宋体"/>
                <w:color w:val="auto"/>
                <w:sz w:val="24"/>
                <w:szCs w:val="24"/>
                <w:highlight w:val="none"/>
              </w:rPr>
            </w:pPr>
            <w:r>
              <w:rPr>
                <w:rFonts w:hint="eastAsia" w:ascii="宋体" w:hAnsi="宋体"/>
                <w:color w:val="auto"/>
                <w:sz w:val="24"/>
                <w:szCs w:val="24"/>
                <w:highlight w:val="none"/>
              </w:rPr>
              <w:t>2.招标文件、投标文件均作为合同订立的基础，为合同组成部分。</w:t>
            </w:r>
          </w:p>
        </w:tc>
        <w:tc>
          <w:tcPr>
            <w:tcW w:w="77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960" w:type="dxa"/>
            <w:vMerge w:val="continue"/>
            <w:tcBorders>
              <w:left w:val="single" w:color="auto" w:sz="4" w:space="0"/>
              <w:bottom w:val="single" w:color="auto" w:sz="4" w:space="0"/>
              <w:right w:val="single" w:color="auto" w:sz="4" w:space="0"/>
            </w:tcBorders>
            <w:vAlign w:val="center"/>
          </w:tcPr>
          <w:p>
            <w:pPr>
              <w:spacing w:line="360" w:lineRule="auto"/>
              <w:rPr>
                <w:rFonts w:ascii="宋体" w:hAnsi="宋体" w:cs="宋体"/>
                <w:color w:val="auto"/>
                <w:sz w:val="24"/>
                <w:szCs w:val="24"/>
                <w:highlight w:val="none"/>
              </w:rPr>
            </w:pPr>
          </w:p>
        </w:tc>
        <w:tc>
          <w:tcPr>
            <w:tcW w:w="707" w:type="dxa"/>
            <w:vMerge w:val="continue"/>
            <w:tcBorders>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09" w:type="dxa"/>
            <w:tcBorders>
              <w:left w:val="single" w:color="auto" w:sz="4" w:space="0"/>
              <w:bottom w:val="single" w:color="auto" w:sz="4" w:space="0"/>
              <w:right w:val="single" w:color="auto" w:sz="4" w:space="0"/>
            </w:tcBorders>
            <w:vAlign w:val="center"/>
          </w:tcPr>
          <w:p>
            <w:pPr>
              <w:widowControl/>
              <w:spacing w:line="360" w:lineRule="auto"/>
              <w:ind w:right="0" w:rightChars="0" w:firstLine="0" w:firstLineChars="0"/>
              <w:jc w:val="left"/>
              <w:rPr>
                <w:rFonts w:ascii="宋体" w:hAnsi="宋体"/>
                <w:color w:val="auto"/>
                <w:sz w:val="24"/>
                <w:szCs w:val="24"/>
                <w:highlight w:val="none"/>
              </w:rPr>
            </w:pPr>
            <w:r>
              <w:rPr>
                <w:rFonts w:hint="eastAsia" w:ascii="宋体" w:hAnsi="宋体"/>
                <w:b/>
                <w:color w:val="auto"/>
                <w:sz w:val="24"/>
                <w:szCs w:val="24"/>
                <w:highlight w:val="none"/>
              </w:rPr>
              <w:t xml:space="preserve">十、其他事项 </w:t>
            </w:r>
          </w:p>
          <w:p>
            <w:pPr>
              <w:spacing w:line="360" w:lineRule="auto"/>
              <w:jc w:val="center"/>
              <w:rPr>
                <w:rFonts w:ascii="宋体" w:hAnsi="宋体" w:cs="宋体"/>
                <w:color w:val="auto"/>
                <w:sz w:val="24"/>
                <w:szCs w:val="24"/>
                <w:highlight w:val="none"/>
              </w:rPr>
            </w:pPr>
          </w:p>
        </w:tc>
        <w:tc>
          <w:tcPr>
            <w:tcW w:w="5386" w:type="dxa"/>
            <w:tcBorders>
              <w:top w:val="single" w:color="auto" w:sz="4" w:space="0"/>
              <w:left w:val="single" w:color="auto" w:sz="4" w:space="0"/>
              <w:bottom w:val="single" w:color="auto" w:sz="4" w:space="0"/>
              <w:right w:val="single" w:color="auto" w:sz="4" w:space="0"/>
            </w:tcBorders>
          </w:tcPr>
          <w:p>
            <w:pPr>
              <w:spacing w:line="360" w:lineRule="auto"/>
              <w:ind w:firstLine="482" w:firstLineChars="200"/>
              <w:rPr>
                <w:rFonts w:ascii="宋体" w:hAnsi="宋体"/>
                <w:b/>
                <w:color w:val="auto"/>
                <w:sz w:val="24"/>
                <w:szCs w:val="24"/>
                <w:highlight w:val="none"/>
              </w:rPr>
            </w:pPr>
            <w:r>
              <w:rPr>
                <w:rFonts w:ascii="宋体" w:hAnsi="宋体"/>
                <w:b/>
                <w:color w:val="auto"/>
                <w:sz w:val="24"/>
                <w:szCs w:val="24"/>
                <w:highlight w:val="none"/>
              </w:rPr>
              <w:t>1.交付使用期：</w:t>
            </w:r>
            <w:r>
              <w:rPr>
                <w:rFonts w:hint="eastAsia" w:ascii="宋体" w:hAnsi="宋体"/>
                <w:b/>
                <w:color w:val="auto"/>
                <w:sz w:val="24"/>
                <w:szCs w:val="24"/>
                <w:highlight w:val="none"/>
              </w:rPr>
              <w:t>合同签订之日起40个日历日内（含交货及安装）。</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2.投标人需提供公司的基本情况、业绩、主要技术人员及资信证明。</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3．投标人在投标文件中详细说明所投货物的技术水平、性能等(材质构成、油漆、内外部结构、五金配件、制造工艺、生产流程、加工设备及其它)。</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4．附件及零配件：投标人应列出备品/备件及附件的清单及价格。</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5．投标人认为有必要提供的其它技术资料。</w:t>
            </w:r>
          </w:p>
          <w:p>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6．投标人若有其它方面的特殊功能及优惠条件，可在投标文件中注明。</w:t>
            </w:r>
          </w:p>
          <w:p>
            <w:pPr>
              <w:spacing w:line="360" w:lineRule="auto"/>
              <w:ind w:firstLine="480" w:firstLineChars="200"/>
              <w:rPr>
                <w:rFonts w:ascii="宋体" w:hAnsi="宋体"/>
                <w:bCs/>
                <w:color w:val="auto"/>
                <w:sz w:val="24"/>
                <w:szCs w:val="24"/>
                <w:highlight w:val="none"/>
              </w:rPr>
            </w:pPr>
            <w:r>
              <w:rPr>
                <w:rFonts w:hint="eastAsia" w:ascii="宋体" w:hAnsi="宋体"/>
                <w:bCs/>
                <w:color w:val="auto"/>
                <w:sz w:val="24"/>
                <w:szCs w:val="24"/>
                <w:highlight w:val="none"/>
              </w:rPr>
              <w:t>7</w:t>
            </w:r>
            <w:r>
              <w:rPr>
                <w:rFonts w:hint="eastAsia" w:ascii="宋体" w:hAnsi="宋体"/>
                <w:color w:val="auto"/>
                <w:sz w:val="24"/>
                <w:szCs w:val="24"/>
                <w:highlight w:val="none"/>
              </w:rPr>
              <w:t>．如</w:t>
            </w:r>
            <w:r>
              <w:rPr>
                <w:rFonts w:hint="eastAsia" w:ascii="宋体" w:hAnsi="宋体"/>
                <w:bCs/>
                <w:color w:val="auto"/>
                <w:sz w:val="24"/>
                <w:szCs w:val="24"/>
                <w:highlight w:val="none"/>
              </w:rPr>
              <w:t>使用单位对采购数量有所调整，将按中标单价调整合同总价，中标供应商不得有异议。如款式及型号有所变动必须经使用单位书面确认，涉及单价变动的以中标单价为基准，由使用单位和中标供应商协商确定。</w:t>
            </w:r>
          </w:p>
          <w:p>
            <w:pPr>
              <w:spacing w:after="0" w:line="360" w:lineRule="auto"/>
              <w:ind w:left="0" w:firstLine="480" w:firstLineChars="200"/>
              <w:rPr>
                <w:rFonts w:ascii="宋体" w:hAnsi="宋体" w:cs="宋体"/>
                <w:color w:val="auto"/>
                <w:sz w:val="24"/>
                <w:szCs w:val="24"/>
                <w:highlight w:val="none"/>
              </w:rPr>
            </w:pPr>
            <w:r>
              <w:rPr>
                <w:rFonts w:hint="eastAsia" w:ascii="宋体" w:hAnsi="宋体"/>
                <w:color w:val="auto"/>
                <w:sz w:val="24"/>
                <w:szCs w:val="24"/>
                <w:highlight w:val="none"/>
                <w:lang w:val="en-US" w:eastAsia="zh-CN"/>
              </w:rPr>
              <w:t>8</w:t>
            </w:r>
            <w:r>
              <w:rPr>
                <w:rFonts w:hint="eastAsia" w:ascii="宋体" w:hAnsi="宋体"/>
                <w:color w:val="auto"/>
                <w:sz w:val="24"/>
                <w:szCs w:val="24"/>
                <w:highlight w:val="none"/>
              </w:rPr>
              <w:t>.中标供应商在供货、安装调试及验收过程中若有出现安全事故，其责任及相应的赔偿均由中标供应商自行承担，采购单位及使用单位不承担所有责任及义务。</w:t>
            </w:r>
          </w:p>
        </w:tc>
        <w:tc>
          <w:tcPr>
            <w:tcW w:w="779"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93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775"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r>
    </w:tbl>
    <w:p>
      <w:pPr>
        <w:tabs>
          <w:tab w:val="left" w:pos="5130"/>
        </w:tabs>
        <w:spacing w:line="360" w:lineRule="auto"/>
        <w:ind w:firstLine="480" w:firstLineChars="200"/>
        <w:rPr>
          <w:rFonts w:ascii="宋体" w:hAnsi="宋体" w:cs="宋体"/>
          <w:color w:val="auto"/>
          <w:sz w:val="24"/>
          <w:szCs w:val="24"/>
          <w:highlight w:val="none"/>
        </w:rPr>
      </w:pPr>
    </w:p>
    <w:p>
      <w:pPr>
        <w:tabs>
          <w:tab w:val="left" w:pos="5130"/>
        </w:tabs>
        <w:spacing w:line="360" w:lineRule="auto"/>
        <w:ind w:firstLine="480" w:firstLineChars="200"/>
        <w:rPr>
          <w:rFonts w:ascii="宋体" w:hAnsi="宋体" w:cs="宋体"/>
          <w:color w:val="auto"/>
          <w:sz w:val="24"/>
          <w:szCs w:val="24"/>
          <w:highlight w:val="none"/>
        </w:rPr>
      </w:pPr>
    </w:p>
    <w:p>
      <w:pPr>
        <w:spacing w:line="360" w:lineRule="auto"/>
        <w:rPr>
          <w:rFonts w:ascii="宋体" w:hAnsi="宋体" w:cs="宋体"/>
          <w:color w:val="auto"/>
          <w:sz w:val="24"/>
          <w:szCs w:val="24"/>
          <w:highlight w:val="none"/>
        </w:rPr>
      </w:pPr>
    </w:p>
    <w:p>
      <w:pPr>
        <w:spacing w:line="360" w:lineRule="auto"/>
        <w:rPr>
          <w:rFonts w:ascii="宋体" w:hAnsi="宋体" w:cs="宋体"/>
          <w:b/>
          <w:bCs/>
          <w:color w:val="auto"/>
          <w:sz w:val="24"/>
          <w:szCs w:val="24"/>
          <w:highlight w:val="none"/>
        </w:rPr>
        <w:sectPr>
          <w:headerReference r:id="rId10" w:type="default"/>
          <w:footerReference r:id="rId11" w:type="default"/>
          <w:pgSz w:w="11906" w:h="16838"/>
          <w:pgMar w:top="851" w:right="851" w:bottom="851" w:left="1134" w:header="567" w:footer="567" w:gutter="0"/>
          <w:cols w:space="720" w:num="1"/>
          <w:docGrid w:linePitch="312" w:charSpace="0"/>
        </w:sectPr>
      </w:pPr>
    </w:p>
    <w:p>
      <w:pPr>
        <w:spacing w:line="360" w:lineRule="auto"/>
        <w:jc w:val="center"/>
        <w:rPr>
          <w:rFonts w:ascii="宋体" w:hAnsi="宋体" w:cs="宋体"/>
          <w:b/>
          <w:color w:val="auto"/>
          <w:sz w:val="32"/>
          <w:szCs w:val="32"/>
          <w:highlight w:val="none"/>
        </w:rPr>
      </w:pPr>
      <w:r>
        <w:rPr>
          <w:rFonts w:hint="eastAsia" w:ascii="宋体" w:hAnsi="宋体" w:cs="宋体"/>
          <w:b/>
          <w:bCs/>
          <w:color w:val="auto"/>
          <w:sz w:val="32"/>
          <w:szCs w:val="32"/>
          <w:highlight w:val="none"/>
        </w:rPr>
        <w:t>第四章</w:t>
      </w:r>
      <w:r>
        <w:rPr>
          <w:rFonts w:hint="eastAsia" w:ascii="宋体" w:hAnsi="宋体" w:cs="宋体"/>
          <w:b/>
          <w:color w:val="auto"/>
          <w:sz w:val="32"/>
          <w:szCs w:val="32"/>
          <w:highlight w:val="none"/>
        </w:rPr>
        <w:t xml:space="preserve">  </w:t>
      </w:r>
      <w:r>
        <w:rPr>
          <w:rFonts w:ascii="宋体" w:hAnsi="宋体" w:cs="宋体"/>
          <w:b/>
          <w:color w:val="auto"/>
          <w:sz w:val="32"/>
          <w:szCs w:val="32"/>
          <w:highlight w:val="none"/>
        </w:rPr>
        <w:t>大宗</w:t>
      </w:r>
      <w:r>
        <w:rPr>
          <w:rFonts w:hint="eastAsia" w:ascii="宋体" w:hAnsi="宋体" w:cs="宋体"/>
          <w:b/>
          <w:color w:val="auto"/>
          <w:sz w:val="32"/>
          <w:szCs w:val="32"/>
          <w:highlight w:val="none"/>
        </w:rPr>
        <w:t>采购合同</w:t>
      </w:r>
    </w:p>
    <w:tbl>
      <w:tblPr>
        <w:tblStyle w:val="12"/>
        <w:tblW w:w="0" w:type="auto"/>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8099" w:type="dxa"/>
          </w:tcPr>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注释： </w:t>
            </w:r>
          </w:p>
          <w:p>
            <w:pPr>
              <w:widowControl/>
              <w:spacing w:line="360" w:lineRule="auto"/>
              <w:ind w:firstLine="480" w:firstLineChars="200"/>
              <w:jc w:val="left"/>
              <w:rPr>
                <w:rFonts w:ascii="宋体" w:hAnsi="宋体" w:cs="宋体"/>
                <w:color w:val="auto"/>
                <w:sz w:val="24"/>
                <w:szCs w:val="24"/>
                <w:highlight w:val="none"/>
              </w:rPr>
            </w:pPr>
            <w:r>
              <w:rPr>
                <w:rFonts w:hint="eastAsia" w:ascii="宋体" w:hAnsi="宋体" w:cs="宋体"/>
                <w:color w:val="auto"/>
                <w:sz w:val="24"/>
                <w:szCs w:val="24"/>
                <w:highlight w:val="none"/>
              </w:rPr>
              <w:t>本格式条款仅作为双方签订合同的参考，为阐明各方的权利和义务，经协商可增加新的条款、修改相关条款， 但不得与招标文件、投标文件的实质性内容相背离。</w:t>
            </w:r>
          </w:p>
        </w:tc>
      </w:tr>
    </w:tbl>
    <w:p>
      <w:pPr>
        <w:spacing w:line="360" w:lineRule="auto"/>
        <w:ind w:right="480"/>
        <w:jc w:val="center"/>
        <w:rPr>
          <w:rFonts w:ascii="宋体" w:hAnsi="宋体" w:cs="宋体"/>
          <w:b/>
          <w:color w:val="auto"/>
          <w:kern w:val="0"/>
          <w:sz w:val="24"/>
          <w:szCs w:val="24"/>
          <w:highlight w:val="none"/>
        </w:rPr>
      </w:pPr>
      <w:bookmarkStart w:id="0" w:name="htmc"/>
      <w:bookmarkEnd w:id="0"/>
      <w:r>
        <w:rPr>
          <w:rFonts w:hint="eastAsia" w:ascii="宋体" w:hAnsi="宋体" w:cs="宋体"/>
          <w:color w:val="auto"/>
          <w:sz w:val="24"/>
          <w:szCs w:val="24"/>
          <w:highlight w:val="none"/>
        </w:rPr>
        <w:t xml:space="preserve">                                             合同编号：</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买方（采购单位）：厦门万翔网络商务有限公司            签订地点：厦门</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卖方（中标/成交供应商）：                                  </w:t>
      </w:r>
    </w:p>
    <w:p>
      <w:pPr>
        <w:spacing w:line="360" w:lineRule="auto"/>
        <w:ind w:right="480"/>
        <w:jc w:val="center"/>
        <w:rPr>
          <w:rFonts w:ascii="宋体" w:hAnsi="宋体" w:cs="宋体"/>
          <w:color w:val="auto"/>
          <w:sz w:val="24"/>
          <w:szCs w:val="24"/>
          <w:highlight w:val="none"/>
        </w:rPr>
      </w:pPr>
      <w:r>
        <w:rPr>
          <w:rFonts w:hint="eastAsia" w:ascii="宋体" w:hAnsi="宋体" w:cs="宋体"/>
          <w:color w:val="auto"/>
          <w:sz w:val="24"/>
          <w:szCs w:val="24"/>
          <w:highlight w:val="none"/>
        </w:rPr>
        <w:t xml:space="preserve">                                               </w:t>
      </w:r>
    </w:p>
    <w:p>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根据项目编号XM2024-DZ0011项目的采购结果，现依照招标文件、投标文件及有关法律、法规、规章规定的内容，双方达成如下协议：</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1、合同标的物和合同价格：</w:t>
      </w:r>
    </w:p>
    <w:tbl>
      <w:tblPr>
        <w:tblStyle w:val="12"/>
        <w:tblW w:w="8627" w:type="dxa"/>
        <w:tblInd w:w="103" w:type="dxa"/>
        <w:tblLayout w:type="autofit"/>
        <w:tblCellMar>
          <w:top w:w="0" w:type="dxa"/>
          <w:left w:w="108" w:type="dxa"/>
          <w:bottom w:w="0" w:type="dxa"/>
          <w:right w:w="108" w:type="dxa"/>
        </w:tblCellMar>
      </w:tblPr>
      <w:tblGrid>
        <w:gridCol w:w="1565"/>
        <w:gridCol w:w="2205"/>
        <w:gridCol w:w="2020"/>
        <w:gridCol w:w="850"/>
        <w:gridCol w:w="1987"/>
      </w:tblGrid>
      <w:tr>
        <w:tblPrEx>
          <w:tblCellMar>
            <w:top w:w="0" w:type="dxa"/>
            <w:left w:w="108" w:type="dxa"/>
            <w:bottom w:w="0" w:type="dxa"/>
            <w:right w:w="108" w:type="dxa"/>
          </w:tblCellMar>
        </w:tblPrEx>
        <w:trPr>
          <w:trHeight w:val="615" w:hRule="atLeast"/>
        </w:trPr>
        <w:tc>
          <w:tcPr>
            <w:tcW w:w="1565"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品名</w:t>
            </w:r>
          </w:p>
        </w:tc>
        <w:tc>
          <w:tcPr>
            <w:tcW w:w="2205" w:type="dxa"/>
            <w:tcBorders>
              <w:top w:val="single" w:color="auto" w:sz="4" w:space="0"/>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规格</w:t>
            </w:r>
          </w:p>
        </w:tc>
        <w:tc>
          <w:tcPr>
            <w:tcW w:w="2020" w:type="dxa"/>
            <w:tcBorders>
              <w:top w:val="single" w:color="auto" w:sz="4" w:space="0"/>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制造商</w:t>
            </w:r>
          </w:p>
        </w:tc>
        <w:tc>
          <w:tcPr>
            <w:tcW w:w="850" w:type="dxa"/>
            <w:tcBorders>
              <w:top w:val="single" w:color="auto" w:sz="4" w:space="0"/>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数量</w:t>
            </w:r>
          </w:p>
        </w:tc>
        <w:tc>
          <w:tcPr>
            <w:tcW w:w="1987" w:type="dxa"/>
            <w:tcBorders>
              <w:top w:val="single" w:color="auto" w:sz="4" w:space="0"/>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金额（元）</w:t>
            </w:r>
          </w:p>
        </w:tc>
      </w:tr>
      <w:tr>
        <w:tblPrEx>
          <w:tblCellMar>
            <w:top w:w="0" w:type="dxa"/>
            <w:left w:w="108" w:type="dxa"/>
            <w:bottom w:w="0" w:type="dxa"/>
            <w:right w:w="108" w:type="dxa"/>
          </w:tblCellMar>
        </w:tblPrEx>
        <w:trPr>
          <w:trHeight w:val="559" w:hRule="atLeast"/>
        </w:trPr>
        <w:tc>
          <w:tcPr>
            <w:tcW w:w="1565" w:type="dxa"/>
            <w:tcBorders>
              <w:top w:val="nil"/>
              <w:left w:val="single" w:color="auto" w:sz="4" w:space="0"/>
              <w:bottom w:val="nil"/>
              <w:right w:val="single" w:color="auto" w:sz="4" w:space="0"/>
            </w:tcBorders>
            <w:vAlign w:val="center"/>
          </w:tcPr>
          <w:p>
            <w:pPr>
              <w:widowControl/>
              <w:spacing w:line="360" w:lineRule="auto"/>
              <w:ind w:firstLine="240" w:firstLineChars="100"/>
              <w:jc w:val="left"/>
              <w:rPr>
                <w:rFonts w:ascii="宋体" w:hAnsi="宋体" w:cs="宋体"/>
                <w:color w:val="auto"/>
                <w:kern w:val="0"/>
                <w:sz w:val="24"/>
                <w:szCs w:val="24"/>
                <w:highlight w:val="none"/>
              </w:rPr>
            </w:pPr>
            <w:r>
              <w:rPr>
                <w:rFonts w:hint="eastAsia" w:ascii="宋体" w:hAnsi="宋体" w:cs="宋体"/>
                <w:color w:val="auto"/>
                <w:sz w:val="24"/>
                <w:szCs w:val="24"/>
                <w:highlight w:val="none"/>
              </w:rPr>
              <w:t>家具</w:t>
            </w:r>
          </w:p>
        </w:tc>
        <w:tc>
          <w:tcPr>
            <w:tcW w:w="2205" w:type="dxa"/>
            <w:tcBorders>
              <w:top w:val="nil"/>
              <w:left w:val="nil"/>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2020" w:type="dxa"/>
            <w:tcBorders>
              <w:top w:val="nil"/>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850" w:type="dxa"/>
            <w:tcBorders>
              <w:top w:val="nil"/>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sz w:val="24"/>
                <w:szCs w:val="24"/>
                <w:highlight w:val="none"/>
              </w:rPr>
              <w:t>1批</w:t>
            </w:r>
          </w:p>
        </w:tc>
        <w:tc>
          <w:tcPr>
            <w:tcW w:w="1987" w:type="dxa"/>
            <w:tcBorders>
              <w:top w:val="nil"/>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sz w:val="24"/>
                <w:szCs w:val="24"/>
                <w:highlight w:val="none"/>
              </w:rPr>
              <w:t>￥</w:t>
            </w:r>
          </w:p>
        </w:tc>
      </w:tr>
      <w:tr>
        <w:tblPrEx>
          <w:tblCellMar>
            <w:top w:w="0" w:type="dxa"/>
            <w:left w:w="108" w:type="dxa"/>
            <w:bottom w:w="0" w:type="dxa"/>
            <w:right w:w="108" w:type="dxa"/>
          </w:tblCellMar>
        </w:tblPrEx>
        <w:trPr>
          <w:trHeight w:val="540" w:hRule="atLeast"/>
        </w:trPr>
        <w:tc>
          <w:tcPr>
            <w:tcW w:w="8627" w:type="dxa"/>
            <w:gridSpan w:val="5"/>
            <w:tcBorders>
              <w:top w:val="single" w:color="auto" w:sz="4" w:space="0"/>
              <w:left w:val="single" w:color="auto" w:sz="4" w:space="0"/>
              <w:bottom w:val="single" w:color="auto" w:sz="4" w:space="0"/>
              <w:right w:val="single" w:color="000000" w:sz="4" w:space="0"/>
            </w:tcBorders>
            <w:vAlign w:val="center"/>
          </w:tcPr>
          <w:p>
            <w:pPr>
              <w:widowControl/>
              <w:spacing w:line="360" w:lineRule="auto"/>
              <w:rPr>
                <w:rFonts w:ascii="宋体" w:hAnsi="宋体" w:cs="宋体"/>
                <w:bCs/>
                <w:color w:val="auto"/>
                <w:sz w:val="24"/>
                <w:szCs w:val="24"/>
                <w:highlight w:val="none"/>
              </w:rPr>
            </w:pPr>
            <w:r>
              <w:rPr>
                <w:rFonts w:hint="eastAsia" w:ascii="宋体" w:hAnsi="宋体" w:cs="宋体"/>
                <w:b/>
                <w:bCs/>
                <w:color w:val="auto"/>
                <w:kern w:val="0"/>
                <w:sz w:val="24"/>
                <w:szCs w:val="24"/>
                <w:highlight w:val="none"/>
              </w:rPr>
              <w:t>合同总价：</w:t>
            </w:r>
            <w:r>
              <w:rPr>
                <w:rFonts w:hint="eastAsia" w:ascii="宋体" w:hAnsi="宋体" w:cs="宋体"/>
                <w:b/>
                <w:color w:val="auto"/>
                <w:sz w:val="24"/>
                <w:szCs w:val="24"/>
                <w:highlight w:val="none"/>
              </w:rPr>
              <w:t xml:space="preserve">人民币    </w:t>
            </w:r>
            <w:r>
              <w:rPr>
                <w:rFonts w:hint="eastAsia" w:ascii="宋体" w:hAnsi="宋体" w:cs="宋体"/>
                <w:color w:val="auto"/>
                <w:sz w:val="24"/>
                <w:szCs w:val="24"/>
                <w:highlight w:val="none"/>
              </w:rPr>
              <w:t>元整</w:t>
            </w:r>
            <w:r>
              <w:rPr>
                <w:rFonts w:hint="eastAsia" w:ascii="宋体" w:hAnsi="宋体" w:cs="宋体"/>
                <w:bCs/>
                <w:color w:val="auto"/>
                <w:sz w:val="24"/>
                <w:szCs w:val="24"/>
                <w:highlight w:val="none"/>
              </w:rPr>
              <w:t>。货物验收完成后的保修等售后服务由卖方与使用单位另行签订服务合同单独约定，与本合同各自独立履行、互不影响。</w:t>
            </w:r>
          </w:p>
        </w:tc>
      </w:tr>
      <w:tr>
        <w:tblPrEx>
          <w:tblCellMar>
            <w:top w:w="0" w:type="dxa"/>
            <w:left w:w="108" w:type="dxa"/>
            <w:bottom w:w="0" w:type="dxa"/>
            <w:right w:w="108" w:type="dxa"/>
          </w:tblCellMar>
        </w:tblPrEx>
        <w:trPr>
          <w:trHeight w:val="780" w:hRule="atLeast"/>
        </w:trPr>
        <w:tc>
          <w:tcPr>
            <w:tcW w:w="8627" w:type="dxa"/>
            <w:gridSpan w:val="5"/>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宋体" w:hAnsi="宋体" w:cs="宋体"/>
                <w:b/>
                <w:color w:val="auto"/>
                <w:kern w:val="0"/>
                <w:sz w:val="24"/>
                <w:szCs w:val="24"/>
                <w:highlight w:val="none"/>
              </w:rPr>
            </w:pPr>
            <w:r>
              <w:rPr>
                <w:rFonts w:hint="eastAsia" w:ascii="宋体" w:hAnsi="宋体" w:cs="宋体"/>
                <w:b/>
                <w:color w:val="auto"/>
                <w:kern w:val="0"/>
                <w:sz w:val="24"/>
                <w:szCs w:val="24"/>
                <w:highlight w:val="none"/>
              </w:rPr>
              <w:t>备注说明： 本项目使用单位（最终用户）：厦门市第三中学</w:t>
            </w:r>
            <w:r>
              <w:rPr>
                <w:rFonts w:hint="eastAsia" w:ascii="宋体" w:hAnsi="宋体" w:cs="宋体"/>
                <w:b/>
                <w:color w:val="auto"/>
                <w:sz w:val="24"/>
                <w:szCs w:val="24"/>
                <w:highlight w:val="none"/>
                <w:u w:val="none"/>
              </w:rPr>
              <w:t>。</w:t>
            </w:r>
          </w:p>
        </w:tc>
      </w:tr>
    </w:tbl>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2、交货</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2.1交货方式：卖方负责送货到交货地点完成安装，并承担运输过程中发生的一切费用及风险。</w:t>
      </w:r>
    </w:p>
    <w:p>
      <w:pPr>
        <w:spacing w:line="360" w:lineRule="auto"/>
        <w:ind w:firstLine="480" w:firstLineChars="200"/>
        <w:rPr>
          <w:rFonts w:ascii="宋体" w:hAnsi="宋体" w:cs="宋体"/>
          <w:color w:val="auto"/>
          <w:sz w:val="24"/>
          <w:szCs w:val="24"/>
          <w:highlight w:val="none"/>
          <w:u w:val="single"/>
        </w:rPr>
      </w:pPr>
      <w:r>
        <w:rPr>
          <w:rFonts w:hint="eastAsia" w:ascii="宋体" w:hAnsi="宋体" w:cs="宋体"/>
          <w:color w:val="auto"/>
          <w:sz w:val="24"/>
          <w:szCs w:val="24"/>
          <w:highlight w:val="none"/>
        </w:rPr>
        <w:t>2.2交货地点：使用单位指定地点。</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2.3交付使用期: 合同签订之日起</w:t>
      </w:r>
      <w:r>
        <w:rPr>
          <w:rFonts w:ascii="宋体" w:hAnsi="宋体" w:cs="宋体"/>
          <w:color w:val="auto"/>
          <w:sz w:val="24"/>
          <w:szCs w:val="24"/>
          <w:highlight w:val="none"/>
        </w:rPr>
        <w:t xml:space="preserve">  </w:t>
      </w:r>
      <w:r>
        <w:rPr>
          <w:rFonts w:hint="eastAsia" w:ascii="宋体" w:hAnsi="宋体" w:cs="宋体"/>
          <w:color w:val="auto"/>
          <w:sz w:val="24"/>
          <w:szCs w:val="24"/>
          <w:highlight w:val="none"/>
        </w:rPr>
        <w:t>个日历日内（含交货、安装）。</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2.4到货签收：卖方每批次供货到指定地点后，卖方应当组织最终用户对到货数量、型号等进行清点签收，并向买方提交最终用户签署的到货签收单原件。</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 xml:space="preserve">3、采购清单： </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4、付款方式</w:t>
      </w:r>
    </w:p>
    <w:p>
      <w:pPr>
        <w:pStyle w:val="7"/>
        <w:spacing w:line="360" w:lineRule="auto"/>
        <w:ind w:firstLine="480" w:firstLineChars="200"/>
        <w:rPr>
          <w:rFonts w:ascii="宋体" w:hAnsi="宋体" w:eastAsia="宋体" w:cs="宋体"/>
          <w:color w:val="auto"/>
          <w:kern w:val="0"/>
          <w:sz w:val="24"/>
          <w:szCs w:val="24"/>
          <w:highlight w:val="none"/>
        </w:rPr>
      </w:pPr>
      <w:r>
        <w:rPr>
          <w:rFonts w:hint="eastAsia" w:hAnsi="宋体" w:cs="宋体"/>
          <w:color w:val="auto"/>
          <w:sz w:val="24"/>
          <w:szCs w:val="24"/>
          <w:highlight w:val="none"/>
        </w:rPr>
        <w:t>4.1</w:t>
      </w:r>
      <w:r>
        <w:rPr>
          <w:rFonts w:hint="eastAsia" w:ascii="宋体" w:hAnsi="宋体" w:cs="宋体"/>
          <w:color w:val="auto"/>
          <w:sz w:val="24"/>
          <w:szCs w:val="24"/>
          <w:highlight w:val="none"/>
        </w:rPr>
        <w:t>付款方式</w:t>
      </w:r>
    </w:p>
    <w:p>
      <w:pPr>
        <w:widowControl/>
        <w:spacing w:line="360" w:lineRule="auto"/>
        <w:ind w:firstLine="480" w:firstLineChars="200"/>
        <w:rPr>
          <w:rFonts w:ascii="宋体" w:hAnsi="宋体" w:cs="宋体"/>
          <w:color w:val="auto"/>
          <w:kern w:val="0"/>
          <w:sz w:val="24"/>
          <w:szCs w:val="24"/>
          <w:highlight w:val="none"/>
        </w:rPr>
      </w:pPr>
      <w:r>
        <w:rPr>
          <w:rFonts w:hint="eastAsia" w:ascii="宋体" w:hAnsi="宋体" w:cs="宋体"/>
          <w:color w:val="auto"/>
          <w:kern w:val="0"/>
          <w:sz w:val="24"/>
          <w:szCs w:val="24"/>
          <w:highlight w:val="none"/>
        </w:rPr>
        <w:t>4.</w:t>
      </w:r>
      <w:r>
        <w:rPr>
          <w:rFonts w:hint="eastAsia" w:ascii="宋体" w:hAnsi="宋体" w:cs="宋体"/>
          <w:color w:val="auto"/>
          <w:kern w:val="0"/>
          <w:sz w:val="24"/>
          <w:szCs w:val="24"/>
          <w:highlight w:val="none"/>
          <w:lang w:val="en-US" w:eastAsia="zh-CN"/>
        </w:rPr>
        <w:t>1</w:t>
      </w:r>
      <w:r>
        <w:rPr>
          <w:rFonts w:hint="eastAsia" w:ascii="宋体" w:hAnsi="宋体" w:cs="宋体"/>
          <w:color w:val="auto"/>
          <w:kern w:val="0"/>
          <w:sz w:val="24"/>
          <w:szCs w:val="24"/>
          <w:highlight w:val="none"/>
        </w:rPr>
        <w:t>.</w:t>
      </w:r>
      <w:r>
        <w:rPr>
          <w:rFonts w:hint="eastAsia" w:ascii="宋体" w:hAnsi="宋体" w:cs="宋体"/>
          <w:color w:val="auto"/>
          <w:kern w:val="0"/>
          <w:sz w:val="24"/>
          <w:szCs w:val="24"/>
          <w:highlight w:val="none"/>
          <w:lang w:val="en-US" w:eastAsia="zh-CN"/>
        </w:rPr>
        <w:t>1</w:t>
      </w:r>
      <w:r>
        <w:rPr>
          <w:rFonts w:hint="eastAsia" w:ascii="宋体" w:hAnsi="宋体" w:cs="宋体"/>
          <w:color w:val="auto"/>
          <w:kern w:val="0"/>
          <w:sz w:val="24"/>
          <w:szCs w:val="24"/>
          <w:highlight w:val="none"/>
        </w:rPr>
        <w:t>合同签订后10个工作日内，</w:t>
      </w:r>
      <w:r>
        <w:rPr>
          <w:rFonts w:hint="default" w:ascii="宋体" w:hAnsi="宋体" w:cs="宋体"/>
          <w:color w:val="auto"/>
          <w:kern w:val="0"/>
          <w:sz w:val="24"/>
          <w:szCs w:val="24"/>
          <w:highlight w:val="none"/>
        </w:rPr>
        <w:t>买方</w:t>
      </w:r>
      <w:r>
        <w:rPr>
          <w:rFonts w:hint="eastAsia" w:ascii="宋体" w:hAnsi="宋体" w:cs="宋体"/>
          <w:color w:val="auto"/>
          <w:kern w:val="0"/>
          <w:sz w:val="24"/>
          <w:szCs w:val="24"/>
          <w:highlight w:val="none"/>
        </w:rPr>
        <w:t>在收到使用单位的款项后向</w:t>
      </w:r>
      <w:r>
        <w:rPr>
          <w:rFonts w:hint="default" w:ascii="宋体" w:hAnsi="宋体" w:cs="宋体"/>
          <w:color w:val="auto"/>
          <w:kern w:val="0"/>
          <w:sz w:val="24"/>
          <w:szCs w:val="24"/>
          <w:highlight w:val="none"/>
        </w:rPr>
        <w:t>卖方</w:t>
      </w:r>
      <w:r>
        <w:rPr>
          <w:rFonts w:hint="eastAsia" w:ascii="宋体" w:hAnsi="宋体" w:cs="宋体"/>
          <w:color w:val="auto"/>
          <w:kern w:val="0"/>
          <w:sz w:val="24"/>
          <w:szCs w:val="24"/>
          <w:highlight w:val="none"/>
        </w:rPr>
        <w:t>支付合同总价的50%的预付款。</w:t>
      </w:r>
    </w:p>
    <w:p>
      <w:pPr>
        <w:widowControl/>
        <w:spacing w:line="360" w:lineRule="auto"/>
        <w:ind w:firstLine="480" w:firstLineChars="200"/>
        <w:rPr>
          <w:rFonts w:ascii="宋体" w:hAnsi="宋体" w:cs="宋体"/>
          <w:color w:val="auto"/>
          <w:sz w:val="24"/>
          <w:szCs w:val="24"/>
          <w:highlight w:val="none"/>
        </w:rPr>
      </w:pPr>
      <w:r>
        <w:rPr>
          <w:rFonts w:hint="eastAsia" w:ascii="宋体" w:hAnsi="宋体" w:cs="宋体"/>
          <w:color w:val="auto"/>
          <w:kern w:val="0"/>
          <w:sz w:val="24"/>
          <w:szCs w:val="24"/>
          <w:highlight w:val="none"/>
        </w:rPr>
        <w:t>4.</w:t>
      </w:r>
      <w:r>
        <w:rPr>
          <w:rFonts w:hint="eastAsia" w:ascii="宋体" w:hAnsi="宋体" w:cs="宋体"/>
          <w:color w:val="auto"/>
          <w:kern w:val="0"/>
          <w:sz w:val="24"/>
          <w:szCs w:val="24"/>
          <w:highlight w:val="none"/>
          <w:lang w:val="en-US" w:eastAsia="zh-CN"/>
        </w:rPr>
        <w:t>1</w:t>
      </w:r>
      <w:r>
        <w:rPr>
          <w:rFonts w:hint="eastAsia" w:ascii="宋体" w:hAnsi="宋体" w:cs="宋体"/>
          <w:color w:val="auto"/>
          <w:kern w:val="0"/>
          <w:sz w:val="24"/>
          <w:szCs w:val="24"/>
          <w:highlight w:val="none"/>
        </w:rPr>
        <w:t>.</w:t>
      </w:r>
      <w:r>
        <w:rPr>
          <w:rFonts w:hint="eastAsia" w:ascii="宋体" w:hAnsi="宋体" w:cs="宋体"/>
          <w:color w:val="auto"/>
          <w:kern w:val="0"/>
          <w:sz w:val="24"/>
          <w:szCs w:val="24"/>
          <w:highlight w:val="none"/>
          <w:lang w:val="en-US" w:eastAsia="zh-CN"/>
        </w:rPr>
        <w:t>2</w:t>
      </w:r>
      <w:r>
        <w:rPr>
          <w:rFonts w:hint="default" w:ascii="宋体" w:hAnsi="宋体" w:cs="宋体"/>
          <w:color w:val="auto"/>
          <w:kern w:val="0"/>
          <w:sz w:val="24"/>
          <w:szCs w:val="24"/>
          <w:highlight w:val="none"/>
          <w:lang w:eastAsia="zh-CN"/>
        </w:rPr>
        <w:t>卖方</w:t>
      </w:r>
      <w:r>
        <w:rPr>
          <w:rFonts w:hint="eastAsia" w:ascii="宋体" w:hAnsi="宋体" w:cs="宋体"/>
          <w:color w:val="auto"/>
          <w:kern w:val="0"/>
          <w:sz w:val="24"/>
          <w:szCs w:val="24"/>
          <w:highlight w:val="none"/>
        </w:rPr>
        <w:t>供货安装、调试完毕，使用单位验收合格后，</w:t>
      </w:r>
      <w:r>
        <w:rPr>
          <w:rFonts w:hint="default" w:ascii="宋体" w:hAnsi="宋体" w:cs="宋体"/>
          <w:color w:val="auto"/>
          <w:kern w:val="0"/>
          <w:sz w:val="24"/>
          <w:szCs w:val="24"/>
          <w:highlight w:val="none"/>
        </w:rPr>
        <w:t>卖方</w:t>
      </w:r>
      <w:r>
        <w:rPr>
          <w:rFonts w:hint="eastAsia" w:ascii="宋体" w:hAnsi="宋体" w:cs="宋体"/>
          <w:color w:val="auto"/>
          <w:kern w:val="0"/>
          <w:sz w:val="24"/>
          <w:szCs w:val="24"/>
          <w:highlight w:val="none"/>
        </w:rPr>
        <w:t>开具合同总价100%的正规发票和全部货物清单给</w:t>
      </w:r>
      <w:r>
        <w:rPr>
          <w:rFonts w:hint="default" w:ascii="宋体" w:hAnsi="宋体" w:cs="宋体"/>
          <w:color w:val="auto"/>
          <w:kern w:val="0"/>
          <w:sz w:val="24"/>
          <w:szCs w:val="24"/>
          <w:highlight w:val="none"/>
        </w:rPr>
        <w:t>买方</w:t>
      </w:r>
      <w:r>
        <w:rPr>
          <w:rFonts w:hint="eastAsia" w:ascii="宋体" w:hAnsi="宋体" w:cs="宋体"/>
          <w:color w:val="auto"/>
          <w:kern w:val="0"/>
          <w:sz w:val="24"/>
          <w:szCs w:val="24"/>
          <w:highlight w:val="none"/>
        </w:rPr>
        <w:t>，</w:t>
      </w:r>
      <w:r>
        <w:rPr>
          <w:rFonts w:hint="default" w:ascii="宋体" w:hAnsi="宋体" w:cs="宋体"/>
          <w:color w:val="auto"/>
          <w:kern w:val="0"/>
          <w:sz w:val="24"/>
          <w:szCs w:val="24"/>
          <w:highlight w:val="none"/>
        </w:rPr>
        <w:t>买方</w:t>
      </w:r>
      <w:r>
        <w:rPr>
          <w:rFonts w:hint="eastAsia" w:ascii="宋体" w:hAnsi="宋体" w:cs="宋体"/>
          <w:color w:val="auto"/>
          <w:kern w:val="0"/>
          <w:sz w:val="24"/>
          <w:szCs w:val="24"/>
          <w:highlight w:val="none"/>
        </w:rPr>
        <w:t>在收到使用单位的款项向</w:t>
      </w:r>
      <w:r>
        <w:rPr>
          <w:rFonts w:hint="default" w:ascii="宋体" w:hAnsi="宋体" w:cs="宋体"/>
          <w:color w:val="auto"/>
          <w:kern w:val="0"/>
          <w:sz w:val="24"/>
          <w:szCs w:val="24"/>
          <w:highlight w:val="none"/>
        </w:rPr>
        <w:t>卖方</w:t>
      </w:r>
      <w:r>
        <w:rPr>
          <w:rFonts w:hint="eastAsia" w:ascii="宋体" w:hAnsi="宋体" w:cs="宋体"/>
          <w:color w:val="auto"/>
          <w:kern w:val="0"/>
          <w:sz w:val="24"/>
          <w:szCs w:val="24"/>
          <w:highlight w:val="none"/>
        </w:rPr>
        <w:t>支付合同总价的50%的款项。</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5、技术资料：</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5.1卖方应在交付使用时向使用单位提供配套资料1套。</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5.2卖方在交货时应向使用单位提供货物的相关手续，包括品牌证书、装箱清单含货物的主附件、原产地证明书、品质保证书、出厂检验报告、合格证书、使用及维护说明书等。</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6、验收</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6.1合同货物到达交货地点且卖方完成安装工作后，买卖双方同意，合同货物由使用单位验收并以使用单位的验收意见为准。合同货物安装后经使用单位验收合格视为最终验收合格。</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6.2合同货物验收时，由使用单位签署《厦门市政府采购验收报告》。</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6.3卖方应派代表参与验收过程，卖方未派代表参与或对验收意见有异议但未在验收完成后3个工作日内书面提出的，视为卖方对验收意见无异议。</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6.4最终验收合格后，卖方应在使用单位要求的时间内直接交付使用单位使用。合同货物交付使用前由卖方负责保管，合同货物的毁损或灭失风险由卖方承担。</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6.5买方根据本合同约定提出换货、退货或解除合同的，卖方应在收到买方或使用单位通知后3个工作日内自行收回不符合合同约定的货物，并承担相应费用。</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7、售后服务</w:t>
      </w:r>
    </w:p>
    <w:p>
      <w:pPr>
        <w:tabs>
          <w:tab w:val="left" w:pos="0"/>
        </w:tabs>
        <w:adjustRightInd w:val="0"/>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货物验收后的维修等售后服务由卖方直接向最终用户提供，卖方应就货物售后服务与最终用户另行签订相应服务合同，买方不向最终用户承担售后服务义务。</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8、知识产权</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卖方保证使用单位在使用该货物或其任何一部分时不受到第三方关于侵犯专利权、商标权或著作权等知识产权的指控。如果任何第三方提出侵权指控，则与买方、使用单位无关，卖方须自行与第三方交涉并承担可能发生的责任与一切费用。如买方因此而遭致损失的，卖方应赔偿该损失。</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9、违约责任</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9.1卖方未能按时交货或未能按时交付使用的，每逾期一日，卖方应支付逾期交货货款1‰的违约金。逾期超过10个日历日，买方有权单方解除本合同，卖方应另外支付合同总价20％的违约金。</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9.2合同货物验收不合格的，买方有权选择解除合同或换货。如买方选择换货，卖方重新供货导致的交货期延迟的，按9.1条处理；若买方选择单方解除合同的，卖方支付合同总价20%的违约金。</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9.3</w:t>
      </w:r>
      <w:r>
        <w:rPr>
          <w:rFonts w:hint="eastAsia" w:ascii="宋体" w:hAnsi="宋体" w:cs="宋体"/>
          <w:bCs/>
          <w:color w:val="auto"/>
          <w:kern w:val="0"/>
          <w:sz w:val="24"/>
          <w:szCs w:val="24"/>
          <w:highlight w:val="none"/>
        </w:rPr>
        <w:t>卖方应保证提供原产、全新、正宗品牌货物，不得用伪劣货物替代。否则，如</w:t>
      </w:r>
      <w:r>
        <w:rPr>
          <w:rFonts w:hint="eastAsia" w:ascii="宋体" w:hAnsi="宋体" w:cs="宋体"/>
          <w:color w:val="auto"/>
          <w:sz w:val="24"/>
          <w:szCs w:val="24"/>
          <w:highlight w:val="none"/>
        </w:rPr>
        <w:t>在合同货物最终验收合格前发现的，按9.2条处理；在合同货物最终验收合格后发现的，买方有权退货，卖方应另外向买方支付合同总价20％的违约金。</w:t>
      </w:r>
    </w:p>
    <w:p>
      <w:pPr>
        <w:spacing w:line="360" w:lineRule="auto"/>
        <w:ind w:firstLine="480" w:firstLineChars="200"/>
        <w:rPr>
          <w:rFonts w:ascii="宋体" w:hAnsi="宋体" w:cs="宋体"/>
          <w:bCs/>
          <w:color w:val="auto"/>
          <w:kern w:val="0"/>
          <w:sz w:val="24"/>
          <w:szCs w:val="24"/>
          <w:highlight w:val="none"/>
        </w:rPr>
      </w:pPr>
      <w:r>
        <w:rPr>
          <w:rFonts w:hint="eastAsia" w:ascii="宋体" w:hAnsi="宋体" w:cs="宋体"/>
          <w:bCs/>
          <w:color w:val="auto"/>
          <w:kern w:val="0"/>
          <w:sz w:val="24"/>
          <w:szCs w:val="24"/>
          <w:highlight w:val="none"/>
        </w:rPr>
        <w:t>9.4在生产过程或验收过程中发现卖方对中标货物进行分包、转包，买方有权单方解除合同并有权拒付全部货款。</w:t>
      </w:r>
    </w:p>
    <w:p>
      <w:pPr>
        <w:spacing w:line="360" w:lineRule="auto"/>
        <w:ind w:firstLine="480" w:firstLineChars="200"/>
        <w:rPr>
          <w:rFonts w:ascii="宋体" w:hAnsi="宋体" w:cs="宋体"/>
          <w:color w:val="auto"/>
          <w:sz w:val="24"/>
          <w:szCs w:val="24"/>
          <w:highlight w:val="none"/>
        </w:rPr>
      </w:pPr>
      <w:r>
        <w:rPr>
          <w:rFonts w:hint="eastAsia" w:ascii="宋体" w:hAnsi="宋体" w:cs="宋体"/>
          <w:bCs/>
          <w:color w:val="auto"/>
          <w:kern w:val="0"/>
          <w:sz w:val="24"/>
          <w:szCs w:val="24"/>
          <w:highlight w:val="none"/>
        </w:rPr>
        <w:t>9.5卖方有虚报各项技术指标等</w:t>
      </w:r>
      <w:r>
        <w:rPr>
          <w:rFonts w:hint="eastAsia" w:ascii="宋体" w:hAnsi="宋体" w:cs="宋体"/>
          <w:color w:val="auto"/>
          <w:sz w:val="24"/>
          <w:szCs w:val="24"/>
          <w:highlight w:val="none"/>
        </w:rPr>
        <w:t>弄虚作假、隐瞒事实内容等情形</w:t>
      </w:r>
      <w:r>
        <w:rPr>
          <w:rFonts w:hint="eastAsia" w:ascii="宋体" w:hAnsi="宋体" w:cs="宋体"/>
          <w:bCs/>
          <w:color w:val="auto"/>
          <w:kern w:val="0"/>
          <w:sz w:val="24"/>
          <w:szCs w:val="24"/>
          <w:highlight w:val="none"/>
        </w:rPr>
        <w:t>，</w:t>
      </w:r>
      <w:r>
        <w:rPr>
          <w:rFonts w:hint="eastAsia" w:ascii="宋体" w:hAnsi="宋体" w:cs="宋体"/>
          <w:color w:val="auto"/>
          <w:sz w:val="24"/>
          <w:szCs w:val="24"/>
          <w:highlight w:val="none"/>
        </w:rPr>
        <w:t>在合同货物最终验收合格前发现的，按9.2条处理；在合同货物最终验收合格后发现的，买方有权退货，卖方应另外向买方支付合同总价20％的违约金。</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9.6因卖方原因导致退换货的，卖方应承担退换货所需的一切费用。如卖方未在规定时间内收回不合格货物，买方不对上述货物的灭失或损坏承担任何责任。如卖方逾期超过20个日历日仍未收回的，买方有权自行处理上述货物。</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9.7除本合同另有约定外，在买方发出的违约通知后30天内仍未纠正其任何一种违约行为，买方有权单方解除本合同，卖方除应退还买方已支付的款项外，还应向买方支付合同总价20％的违约金。</w:t>
      </w:r>
    </w:p>
    <w:p>
      <w:pPr>
        <w:spacing w:line="360" w:lineRule="auto"/>
        <w:ind w:firstLine="460" w:firstLineChars="192"/>
        <w:rPr>
          <w:rFonts w:ascii="宋体" w:hAnsi="宋体" w:cs="宋体"/>
          <w:color w:val="auto"/>
          <w:sz w:val="24"/>
          <w:szCs w:val="24"/>
          <w:highlight w:val="none"/>
        </w:rPr>
      </w:pPr>
      <w:r>
        <w:rPr>
          <w:rFonts w:hint="eastAsia" w:ascii="宋体" w:hAnsi="宋体" w:cs="宋体"/>
          <w:color w:val="auto"/>
          <w:sz w:val="24"/>
          <w:szCs w:val="24"/>
          <w:highlight w:val="none"/>
        </w:rPr>
        <w:t>9.8本合同约定的违约金无法弥补买方损失的，卖方应继续承担相应的赔偿责任。买方有权直接从未付的款项中扣除卖方根据本合同约定应付未付的违约金、赔偿金等。</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10、不可抗力</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10.1因不可抗力造成违约的，遭受不可抗力一方应及时向对方通报不能履行或不能完全履行的理由，并在随后取得有关主管机关证明后的15日内向另一方提供不可抗力发生以及持续期间的充分证据。基于以上行为，允许遭受不可抗力一方延期履行、部分履行或者不履行合同，并根据情况可部分或全部免于承担违约责任。</w:t>
      </w:r>
    </w:p>
    <w:p>
      <w:pPr>
        <w:spacing w:line="360" w:lineRule="auto"/>
        <w:ind w:firstLine="470" w:firstLineChars="196"/>
        <w:rPr>
          <w:rFonts w:ascii="宋体" w:hAnsi="宋体" w:cs="宋体"/>
          <w:color w:val="auto"/>
          <w:sz w:val="24"/>
          <w:szCs w:val="24"/>
          <w:highlight w:val="none"/>
        </w:rPr>
      </w:pPr>
      <w:r>
        <w:rPr>
          <w:rFonts w:hint="eastAsia" w:ascii="宋体" w:hAnsi="宋体" w:cs="宋体"/>
          <w:color w:val="auto"/>
          <w:sz w:val="24"/>
          <w:szCs w:val="24"/>
          <w:highlight w:val="none"/>
        </w:rPr>
        <w:t>10.2本合同中的不可抗力指不能预见、不能避免并不能克服的客观情况。包括但不限于：自然灾害如地震、台风、洪水、火灾；政府行为、法律规定或其适用的变化或者其他任何无法预见、避免或者控制的事件。</w:t>
      </w:r>
    </w:p>
    <w:p>
      <w:pPr>
        <w:spacing w:line="360" w:lineRule="auto"/>
        <w:ind w:firstLine="470" w:firstLineChars="196"/>
        <w:rPr>
          <w:rFonts w:ascii="宋体" w:hAnsi="宋体" w:cs="宋体"/>
          <w:b/>
          <w:color w:val="auto"/>
          <w:sz w:val="24"/>
          <w:szCs w:val="24"/>
          <w:highlight w:val="none"/>
        </w:rPr>
      </w:pPr>
      <w:r>
        <w:rPr>
          <w:rFonts w:hint="eastAsia" w:ascii="宋体" w:hAnsi="宋体" w:cs="宋体"/>
          <w:color w:val="auto"/>
          <w:sz w:val="24"/>
          <w:szCs w:val="24"/>
          <w:highlight w:val="none"/>
        </w:rPr>
        <w:t>10.3当事人一方因不可抗力的原因不能履行合同的，应及时通知对方，以减轻可能给对方造成的损失，并应当在合理期限内提供证明。</w:t>
      </w:r>
    </w:p>
    <w:p>
      <w:pPr>
        <w:spacing w:line="360" w:lineRule="auto"/>
        <w:rPr>
          <w:rFonts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11、合同纠纷处理方式</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因本合同或与本合同有关的一切事项发生争议，由双方友好协商解决。协商不成的，任何一方均可向买方所在地人民法院提起诉讼。</w:t>
      </w:r>
    </w:p>
    <w:p>
      <w:pPr>
        <w:spacing w:line="360" w:lineRule="auto"/>
        <w:rPr>
          <w:rFonts w:ascii="宋体" w:hAnsi="宋体" w:cs="宋体"/>
          <w:b/>
          <w:bCs/>
          <w:color w:val="auto"/>
          <w:kern w:val="0"/>
          <w:sz w:val="24"/>
          <w:szCs w:val="24"/>
          <w:highlight w:val="none"/>
        </w:rPr>
      </w:pPr>
      <w:r>
        <w:rPr>
          <w:rFonts w:hint="eastAsia" w:ascii="宋体" w:hAnsi="宋体" w:cs="宋体"/>
          <w:b/>
          <w:color w:val="auto"/>
          <w:sz w:val="24"/>
          <w:szCs w:val="24"/>
          <w:highlight w:val="none"/>
        </w:rPr>
        <w:t>12、</w:t>
      </w:r>
      <w:r>
        <w:rPr>
          <w:rFonts w:hint="eastAsia" w:ascii="宋体" w:hAnsi="宋体" w:cs="宋体"/>
          <w:b/>
          <w:bCs/>
          <w:color w:val="auto"/>
          <w:kern w:val="0"/>
          <w:sz w:val="24"/>
          <w:szCs w:val="24"/>
          <w:highlight w:val="none"/>
        </w:rPr>
        <w:t>其他约定</w:t>
      </w:r>
    </w:p>
    <w:p>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12.1本合同未尽事宜，买卖双方另行补充。</w:t>
      </w:r>
    </w:p>
    <w:p>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12.2卖方同意，由卖方</w:t>
      </w:r>
      <w:r>
        <w:rPr>
          <w:rFonts w:hint="eastAsia" w:ascii="宋体" w:hAnsi="宋体" w:cs="宋体"/>
          <w:bCs/>
          <w:color w:val="auto"/>
          <w:kern w:val="0"/>
          <w:sz w:val="24"/>
          <w:szCs w:val="24"/>
          <w:highlight w:val="none"/>
        </w:rPr>
        <w:t>依据与最终用户的服务协议直接向最终用户履行保修等售后服务义务。</w:t>
      </w:r>
    </w:p>
    <w:p>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12.3本合同经双方签订之日起生效。一式伍份，买方贰份，卖方贰份，送厦门市财政局政府采购监管处备案壹份，具有同等法律效力。</w:t>
      </w:r>
    </w:p>
    <w:p>
      <w:pPr>
        <w:spacing w:line="360" w:lineRule="auto"/>
        <w:ind w:firstLine="600" w:firstLineChars="250"/>
        <w:rPr>
          <w:rFonts w:ascii="宋体" w:hAnsi="宋体" w:cs="宋体"/>
          <w:color w:val="auto"/>
          <w:sz w:val="24"/>
          <w:szCs w:val="24"/>
          <w:highlight w:val="none"/>
        </w:rPr>
      </w:pPr>
    </w:p>
    <w:p>
      <w:pPr>
        <w:spacing w:line="360" w:lineRule="auto"/>
        <w:rPr>
          <w:rFonts w:ascii="宋体" w:hAnsi="宋体" w:cs="宋体"/>
          <w:color w:val="auto"/>
          <w:kern w:val="0"/>
          <w:sz w:val="24"/>
          <w:szCs w:val="24"/>
          <w:highlight w:val="none"/>
        </w:rPr>
      </w:pPr>
      <w:r>
        <w:rPr>
          <w:rFonts w:hint="eastAsia" w:ascii="宋体" w:hAnsi="宋体" w:cs="宋体"/>
          <w:color w:val="auto"/>
          <w:sz w:val="24"/>
          <w:szCs w:val="24"/>
          <w:highlight w:val="none"/>
        </w:rPr>
        <w:t xml:space="preserve">买方：厦门万翔网络商务有限公司                  卖方： </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单位地址：厦门市湖里区机场北路476号            单位地址： </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法定代表人：                                     法定代表人：</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授权代表：                                       授权代表：</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签订时间：                                       签订时间：</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电    话：                                       电    话：</w:t>
      </w:r>
    </w:p>
    <w:p>
      <w:pPr>
        <w:spacing w:line="360" w:lineRule="auto"/>
        <w:ind w:left="4560" w:right="-512" w:rightChars="-244" w:hanging="4560" w:hangingChars="1900"/>
        <w:rPr>
          <w:rFonts w:ascii="宋体" w:hAnsi="宋体" w:cs="宋体"/>
          <w:color w:val="auto"/>
          <w:sz w:val="24"/>
          <w:szCs w:val="24"/>
          <w:highlight w:val="none"/>
        </w:rPr>
      </w:pPr>
      <w:r>
        <w:rPr>
          <w:rFonts w:hint="eastAsia" w:ascii="宋体" w:hAnsi="宋体" w:cs="宋体"/>
          <w:color w:val="auto"/>
          <w:sz w:val="24"/>
          <w:szCs w:val="24"/>
          <w:highlight w:val="none"/>
        </w:rPr>
        <w:t>开户银行：</w:t>
      </w:r>
      <w:r>
        <w:rPr>
          <w:rFonts w:hint="eastAsia" w:ascii="宋体" w:hAnsi="宋体" w:cs="宋体"/>
          <w:bCs/>
          <w:color w:val="auto"/>
          <w:sz w:val="24"/>
          <w:szCs w:val="24"/>
          <w:highlight w:val="none"/>
        </w:rPr>
        <w:t xml:space="preserve">建设银行股份有限公司厦门分行机场支行   </w:t>
      </w:r>
      <w:r>
        <w:rPr>
          <w:rFonts w:hint="eastAsia" w:ascii="宋体" w:hAnsi="宋体" w:cs="宋体"/>
          <w:color w:val="auto"/>
          <w:sz w:val="24"/>
          <w:szCs w:val="24"/>
          <w:highlight w:val="none"/>
        </w:rPr>
        <w:t xml:space="preserve">开户银行： </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账号：35101570201052503924                   账号：</w:t>
      </w:r>
    </w:p>
    <w:p>
      <w:pPr>
        <w:spacing w:line="360" w:lineRule="auto"/>
        <w:rPr>
          <w:rFonts w:ascii="宋体" w:hAnsi="宋体" w:cs="宋体"/>
          <w:color w:val="auto"/>
          <w:sz w:val="24"/>
          <w:szCs w:val="24"/>
          <w:highlight w:val="none"/>
        </w:rPr>
      </w:pPr>
    </w:p>
    <w:p>
      <w:pPr>
        <w:spacing w:line="360" w:lineRule="auto"/>
        <w:rPr>
          <w:rFonts w:ascii="宋体" w:hAnsi="宋体" w:cs="宋体"/>
          <w:color w:val="auto"/>
          <w:sz w:val="24"/>
          <w:szCs w:val="24"/>
          <w:highlight w:val="none"/>
        </w:rPr>
      </w:pPr>
    </w:p>
    <w:p>
      <w:pPr>
        <w:spacing w:line="360" w:lineRule="auto"/>
        <w:rPr>
          <w:rFonts w:ascii="宋体" w:hAnsi="宋体" w:cs="宋体"/>
          <w:color w:val="auto"/>
          <w:sz w:val="24"/>
          <w:szCs w:val="24"/>
          <w:highlight w:val="none"/>
        </w:rPr>
      </w:pPr>
    </w:p>
    <w:p>
      <w:pPr>
        <w:spacing w:line="360" w:lineRule="auto"/>
        <w:ind w:firstLine="3132" w:firstLineChars="1300"/>
        <w:rPr>
          <w:rFonts w:ascii="宋体" w:hAnsi="宋体" w:cs="宋体"/>
          <w:b/>
          <w:bCs/>
          <w:color w:val="auto"/>
          <w:sz w:val="24"/>
          <w:szCs w:val="24"/>
          <w:highlight w:val="none"/>
        </w:rPr>
      </w:pPr>
      <w:r>
        <w:rPr>
          <w:rFonts w:hint="eastAsia" w:ascii="宋体" w:hAnsi="宋体" w:cs="宋体"/>
          <w:b/>
          <w:bCs/>
          <w:color w:val="auto"/>
          <w:sz w:val="24"/>
          <w:szCs w:val="24"/>
          <w:highlight w:val="none"/>
        </w:rPr>
        <w:t>大宗项目买卖合同</w:t>
      </w:r>
    </w:p>
    <w:p>
      <w:pPr>
        <w:spacing w:line="360" w:lineRule="auto"/>
        <w:ind w:right="480"/>
        <w:jc w:val="center"/>
        <w:rPr>
          <w:rFonts w:ascii="宋体" w:hAnsi="宋体" w:cs="宋体"/>
          <w:color w:val="auto"/>
          <w:sz w:val="24"/>
          <w:szCs w:val="24"/>
          <w:highlight w:val="none"/>
        </w:rPr>
      </w:pPr>
    </w:p>
    <w:p>
      <w:pPr>
        <w:spacing w:line="360" w:lineRule="auto"/>
        <w:ind w:right="480"/>
        <w:jc w:val="center"/>
        <w:rPr>
          <w:rFonts w:ascii="宋体" w:hAnsi="宋体" w:cs="宋体"/>
          <w:b/>
          <w:color w:val="auto"/>
          <w:kern w:val="0"/>
          <w:sz w:val="24"/>
          <w:szCs w:val="24"/>
          <w:highlight w:val="none"/>
        </w:rPr>
      </w:pPr>
      <w:r>
        <w:rPr>
          <w:rFonts w:hint="eastAsia" w:ascii="宋体" w:hAnsi="宋体" w:cs="宋体"/>
          <w:color w:val="auto"/>
          <w:sz w:val="24"/>
          <w:szCs w:val="24"/>
          <w:highlight w:val="none"/>
        </w:rPr>
        <w:t xml:space="preserve">                                    合同编号：</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买方： </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卖方：厦门万翔网络商务有限公司</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现根据项目编号XM2024-DZ0011的招标文件、投标文件以及评审结果通知书（中标/成交供应商为</w:t>
      </w:r>
      <w:r>
        <w:rPr>
          <w:rFonts w:ascii="宋体" w:hAnsi="宋体" w:cs="宋体"/>
          <w:color w:val="auto"/>
          <w:sz w:val="24"/>
          <w:szCs w:val="24"/>
          <w:highlight w:val="none"/>
        </w:rPr>
        <w:t xml:space="preserve"> </w:t>
      </w:r>
      <w:r>
        <w:rPr>
          <w:rFonts w:hint="eastAsia" w:ascii="宋体" w:hAnsi="宋体" w:cs="宋体"/>
          <w:color w:val="auto"/>
          <w:sz w:val="24"/>
          <w:szCs w:val="24"/>
          <w:highlight w:val="none"/>
        </w:rPr>
        <w:t>：</w:t>
      </w:r>
      <w:r>
        <w:rPr>
          <w:rFonts w:ascii="宋体" w:hAnsi="宋体" w:cs="宋体"/>
          <w:color w:val="auto"/>
          <w:sz w:val="24"/>
          <w:szCs w:val="24"/>
          <w:highlight w:val="none"/>
        </w:rPr>
        <w:t xml:space="preserve">    </w:t>
      </w:r>
      <w:r>
        <w:rPr>
          <w:rFonts w:hint="eastAsia" w:ascii="宋体" w:hAnsi="宋体" w:cs="宋体"/>
          <w:color w:val="auto"/>
          <w:sz w:val="24"/>
          <w:szCs w:val="24"/>
          <w:highlight w:val="none"/>
        </w:rPr>
        <w:t>），买卖双方经协商一致，就卖方将从中标/成交供应商处采购的货物出售给买方、并约定由中标/成交供应商直接向买方履行安装及售后服务等义务，特制定本合同，以资共同遵守：</w:t>
      </w:r>
    </w:p>
    <w:p>
      <w:pPr>
        <w:tabs>
          <w:tab w:val="left" w:pos="315"/>
        </w:tabs>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1、合同标的物和价格（详见附件）</w:t>
      </w:r>
    </w:p>
    <w:tbl>
      <w:tblPr>
        <w:tblStyle w:val="12"/>
        <w:tblW w:w="8365" w:type="dxa"/>
        <w:tblInd w:w="103" w:type="dxa"/>
        <w:tblLayout w:type="fixed"/>
        <w:tblCellMar>
          <w:top w:w="0" w:type="dxa"/>
          <w:left w:w="108" w:type="dxa"/>
          <w:bottom w:w="0" w:type="dxa"/>
          <w:right w:w="108" w:type="dxa"/>
        </w:tblCellMar>
      </w:tblPr>
      <w:tblGrid>
        <w:gridCol w:w="1281"/>
        <w:gridCol w:w="2268"/>
        <w:gridCol w:w="1817"/>
        <w:gridCol w:w="1338"/>
        <w:gridCol w:w="1661"/>
      </w:tblGrid>
      <w:tr>
        <w:tblPrEx>
          <w:tblCellMar>
            <w:top w:w="0" w:type="dxa"/>
            <w:left w:w="108" w:type="dxa"/>
            <w:bottom w:w="0" w:type="dxa"/>
            <w:right w:w="108" w:type="dxa"/>
          </w:tblCellMar>
        </w:tblPrEx>
        <w:trPr>
          <w:trHeight w:val="615" w:hRule="atLeast"/>
        </w:trPr>
        <w:tc>
          <w:tcPr>
            <w:tcW w:w="1281"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品名</w:t>
            </w:r>
          </w:p>
        </w:tc>
        <w:tc>
          <w:tcPr>
            <w:tcW w:w="2268" w:type="dxa"/>
            <w:tcBorders>
              <w:top w:val="single" w:color="auto" w:sz="4" w:space="0"/>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规格</w:t>
            </w:r>
          </w:p>
        </w:tc>
        <w:tc>
          <w:tcPr>
            <w:tcW w:w="1817" w:type="dxa"/>
            <w:tcBorders>
              <w:top w:val="single" w:color="auto" w:sz="4" w:space="0"/>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制造商</w:t>
            </w:r>
          </w:p>
        </w:tc>
        <w:tc>
          <w:tcPr>
            <w:tcW w:w="1338" w:type="dxa"/>
            <w:tcBorders>
              <w:top w:val="single" w:color="auto" w:sz="4" w:space="0"/>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数量</w:t>
            </w:r>
          </w:p>
        </w:tc>
        <w:tc>
          <w:tcPr>
            <w:tcW w:w="1661" w:type="dxa"/>
            <w:tcBorders>
              <w:top w:val="single" w:color="auto" w:sz="4" w:space="0"/>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金额</w:t>
            </w:r>
          </w:p>
        </w:tc>
      </w:tr>
      <w:tr>
        <w:tblPrEx>
          <w:tblCellMar>
            <w:top w:w="0" w:type="dxa"/>
            <w:left w:w="108" w:type="dxa"/>
            <w:bottom w:w="0" w:type="dxa"/>
            <w:right w:w="108" w:type="dxa"/>
          </w:tblCellMar>
        </w:tblPrEx>
        <w:trPr>
          <w:trHeight w:val="559" w:hRule="atLeast"/>
        </w:trPr>
        <w:tc>
          <w:tcPr>
            <w:tcW w:w="1281" w:type="dxa"/>
            <w:tcBorders>
              <w:top w:val="nil"/>
              <w:left w:val="single" w:color="auto" w:sz="4" w:space="0"/>
              <w:bottom w:val="single" w:color="auto" w:sz="4" w:space="0"/>
              <w:right w:val="single" w:color="auto" w:sz="4" w:space="0"/>
            </w:tcBorders>
            <w:vAlign w:val="center"/>
          </w:tcPr>
          <w:p>
            <w:pPr>
              <w:widowControl/>
              <w:spacing w:line="360" w:lineRule="auto"/>
              <w:ind w:firstLine="240" w:firstLineChars="100"/>
              <w:jc w:val="left"/>
              <w:rPr>
                <w:rFonts w:ascii="宋体" w:hAnsi="宋体" w:cs="宋体"/>
                <w:color w:val="auto"/>
                <w:kern w:val="0"/>
                <w:sz w:val="24"/>
                <w:szCs w:val="24"/>
                <w:highlight w:val="none"/>
              </w:rPr>
            </w:pPr>
            <w:r>
              <w:rPr>
                <w:rFonts w:hint="eastAsia" w:ascii="宋体" w:hAnsi="宋体" w:cs="宋体"/>
                <w:color w:val="auto"/>
                <w:sz w:val="24"/>
                <w:szCs w:val="24"/>
                <w:highlight w:val="none"/>
              </w:rPr>
              <w:t>家具</w:t>
            </w:r>
          </w:p>
        </w:tc>
        <w:tc>
          <w:tcPr>
            <w:tcW w:w="2268" w:type="dxa"/>
            <w:tcBorders>
              <w:top w:val="nil"/>
              <w:left w:val="nil"/>
              <w:bottom w:val="single" w:color="auto" w:sz="4" w:space="0"/>
              <w:right w:val="single" w:color="auto" w:sz="4" w:space="0"/>
            </w:tcBorders>
            <w:vAlign w:val="center"/>
          </w:tcPr>
          <w:p>
            <w:pPr>
              <w:spacing w:line="360" w:lineRule="auto"/>
              <w:rPr>
                <w:rFonts w:ascii="宋体" w:hAnsi="宋体" w:cs="宋体"/>
                <w:color w:val="auto"/>
                <w:sz w:val="24"/>
                <w:szCs w:val="24"/>
                <w:highlight w:val="none"/>
              </w:rPr>
            </w:pPr>
          </w:p>
        </w:tc>
        <w:tc>
          <w:tcPr>
            <w:tcW w:w="1817" w:type="dxa"/>
            <w:tcBorders>
              <w:top w:val="nil"/>
              <w:left w:val="single" w:color="auto" w:sz="4" w:space="0"/>
              <w:bottom w:val="single" w:color="auto" w:sz="4" w:space="0"/>
              <w:right w:val="single" w:color="auto" w:sz="4" w:space="0"/>
            </w:tcBorders>
            <w:vAlign w:val="center"/>
          </w:tcPr>
          <w:p>
            <w:pPr>
              <w:spacing w:line="360" w:lineRule="auto"/>
              <w:jc w:val="center"/>
              <w:rPr>
                <w:rFonts w:ascii="宋体" w:hAnsi="宋体" w:cs="宋体"/>
                <w:color w:val="auto"/>
                <w:sz w:val="24"/>
                <w:szCs w:val="24"/>
                <w:highlight w:val="none"/>
              </w:rPr>
            </w:pPr>
          </w:p>
        </w:tc>
        <w:tc>
          <w:tcPr>
            <w:tcW w:w="1338" w:type="dxa"/>
            <w:tcBorders>
              <w:top w:val="nil"/>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r>
              <w:rPr>
                <w:rFonts w:hint="eastAsia" w:ascii="宋体" w:hAnsi="宋体" w:cs="宋体"/>
                <w:color w:val="auto"/>
                <w:sz w:val="24"/>
                <w:szCs w:val="24"/>
                <w:highlight w:val="none"/>
              </w:rPr>
              <w:t>1批（详见附件：价格清单）</w:t>
            </w:r>
          </w:p>
        </w:tc>
        <w:tc>
          <w:tcPr>
            <w:tcW w:w="1661" w:type="dxa"/>
            <w:tcBorders>
              <w:top w:val="nil"/>
              <w:left w:val="nil"/>
              <w:bottom w:val="single" w:color="auto" w:sz="4" w:space="0"/>
              <w:right w:val="single" w:color="auto" w:sz="4" w:space="0"/>
            </w:tcBorders>
            <w:vAlign w:val="center"/>
          </w:tcPr>
          <w:p>
            <w:pPr>
              <w:widowControl/>
              <w:spacing w:line="360" w:lineRule="auto"/>
              <w:jc w:val="center"/>
              <w:rPr>
                <w:rFonts w:ascii="宋体" w:hAnsi="宋体" w:cs="宋体"/>
                <w:color w:val="auto"/>
                <w:kern w:val="0"/>
                <w:sz w:val="24"/>
                <w:szCs w:val="24"/>
                <w:highlight w:val="none"/>
              </w:rPr>
            </w:pPr>
          </w:p>
        </w:tc>
      </w:tr>
      <w:tr>
        <w:tblPrEx>
          <w:tblCellMar>
            <w:top w:w="0" w:type="dxa"/>
            <w:left w:w="108" w:type="dxa"/>
            <w:bottom w:w="0" w:type="dxa"/>
            <w:right w:w="108" w:type="dxa"/>
          </w:tblCellMar>
        </w:tblPrEx>
        <w:trPr>
          <w:trHeight w:val="540" w:hRule="atLeast"/>
        </w:trPr>
        <w:tc>
          <w:tcPr>
            <w:tcW w:w="8365" w:type="dxa"/>
            <w:gridSpan w:val="5"/>
            <w:tcBorders>
              <w:top w:val="single" w:color="auto" w:sz="4" w:space="0"/>
              <w:left w:val="single" w:color="auto" w:sz="4" w:space="0"/>
              <w:bottom w:val="single" w:color="auto" w:sz="4" w:space="0"/>
              <w:right w:val="single" w:color="000000" w:sz="4" w:space="0"/>
            </w:tcBorders>
            <w:vAlign w:val="center"/>
          </w:tcPr>
          <w:p>
            <w:pPr>
              <w:widowControl/>
              <w:spacing w:line="360" w:lineRule="auto"/>
              <w:rPr>
                <w:rFonts w:ascii="宋体" w:hAnsi="宋体" w:cs="宋体"/>
                <w:b/>
                <w:color w:val="auto"/>
                <w:sz w:val="24"/>
                <w:szCs w:val="24"/>
                <w:highlight w:val="none"/>
              </w:rPr>
            </w:pPr>
            <w:r>
              <w:rPr>
                <w:rFonts w:hint="eastAsia" w:ascii="宋体" w:hAnsi="宋体" w:cs="宋体"/>
                <w:b/>
                <w:bCs/>
                <w:color w:val="auto"/>
                <w:kern w:val="0"/>
                <w:sz w:val="24"/>
                <w:szCs w:val="24"/>
                <w:highlight w:val="none"/>
              </w:rPr>
              <w:t>合同总价：</w:t>
            </w:r>
            <w:r>
              <w:rPr>
                <w:rFonts w:hint="eastAsia" w:ascii="宋体" w:hAnsi="宋体" w:cs="宋体"/>
                <w:b/>
                <w:color w:val="auto"/>
                <w:sz w:val="24"/>
                <w:szCs w:val="24"/>
                <w:highlight w:val="none"/>
              </w:rPr>
              <w:t xml:space="preserve">人民币 </w:t>
            </w:r>
            <w:r>
              <w:rPr>
                <w:rFonts w:hint="eastAsia" w:ascii="宋体" w:hAnsi="宋体" w:cs="宋体"/>
                <w:color w:val="auto"/>
                <w:sz w:val="24"/>
                <w:szCs w:val="24"/>
                <w:highlight w:val="none"/>
              </w:rPr>
              <w:t>元整</w:t>
            </w:r>
            <w:r>
              <w:rPr>
                <w:rFonts w:hint="eastAsia" w:ascii="宋体" w:hAnsi="宋体" w:cs="宋体"/>
                <w:bCs/>
                <w:color w:val="auto"/>
                <w:sz w:val="24"/>
                <w:szCs w:val="24"/>
                <w:highlight w:val="none"/>
              </w:rPr>
              <w:t>。货物验收完成后的保修等售后服务由买方与</w:t>
            </w:r>
            <w:r>
              <w:rPr>
                <w:rFonts w:hint="eastAsia" w:ascii="宋体" w:hAnsi="宋体" w:cs="宋体"/>
                <w:color w:val="auto"/>
                <w:sz w:val="24"/>
                <w:szCs w:val="24"/>
                <w:highlight w:val="none"/>
              </w:rPr>
              <w:t>中标/成交</w:t>
            </w:r>
            <w:r>
              <w:rPr>
                <w:rFonts w:hint="eastAsia" w:ascii="宋体" w:hAnsi="宋体" w:cs="宋体"/>
                <w:bCs/>
                <w:color w:val="auto"/>
                <w:sz w:val="24"/>
                <w:szCs w:val="24"/>
                <w:highlight w:val="none"/>
              </w:rPr>
              <w:t>供应商另行签订服务合同单独约定</w:t>
            </w:r>
            <w:r>
              <w:rPr>
                <w:rFonts w:hint="eastAsia" w:ascii="宋体" w:hAnsi="宋体" w:cs="宋体"/>
                <w:bCs/>
                <w:color w:val="auto"/>
                <w:kern w:val="0"/>
                <w:sz w:val="24"/>
                <w:szCs w:val="24"/>
                <w:highlight w:val="none"/>
              </w:rPr>
              <w:t>，与本合同各自独立履行、互不影响。</w:t>
            </w:r>
          </w:p>
        </w:tc>
      </w:tr>
    </w:tbl>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2、交货</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2.1交货期：合同签订之日起</w:t>
      </w:r>
      <w:r>
        <w:rPr>
          <w:rFonts w:ascii="宋体" w:hAnsi="宋体" w:cs="宋体"/>
          <w:color w:val="auto"/>
          <w:sz w:val="24"/>
          <w:szCs w:val="24"/>
          <w:highlight w:val="none"/>
        </w:rPr>
        <w:t xml:space="preserve">  </w:t>
      </w:r>
      <w:r>
        <w:rPr>
          <w:rFonts w:hint="eastAsia" w:ascii="宋体" w:hAnsi="宋体" w:cs="宋体"/>
          <w:color w:val="auto"/>
          <w:sz w:val="24"/>
          <w:szCs w:val="24"/>
          <w:highlight w:val="none"/>
        </w:rPr>
        <w:t>个日历日内（含交货、安装并验收合格交付使用）。</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2.2交货地点：买方指定的地点。</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2.3到货签收：卖方每批次供货到买方指定地点后，买方应当对到货数量、型号等进行清点签收，买方应按第4条约定的付款条件向卖方支付约定的货款。</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3、验收</w:t>
      </w:r>
    </w:p>
    <w:p>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3.1买方负责承担合同货物安装过程中相应的协调、配合工作。</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3.2安装工作完成后，买方负责对合同货物进行验收。买方验收合格即视为最终验收合格；若无正当理由，买方超过30天仍未验收且未提出书面异议的，则视为最终验收合格。</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 xml:space="preserve"> 3.3买方在货物安装完毕后发现货物存在问题的，应在货物交付后 5 个工作日内向卖方提出书面异议，逾期提出书面异议的，视为最终验收合格。</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3.4最终验收时，买方填写《厦门市政府采购验收报告》中货物相关信息，签署验收意见和加盖公章，并分别提供一份给中标供应商和卖方。</w:t>
      </w:r>
    </w:p>
    <w:p>
      <w:pPr>
        <w:tabs>
          <w:tab w:val="left" w:pos="5130"/>
        </w:tabs>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4、付款方式</w:t>
      </w:r>
    </w:p>
    <w:p>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w:t>
      </w:r>
      <w:r>
        <w:rPr>
          <w:rFonts w:hint="eastAsia" w:ascii="宋体" w:hAnsi="宋体" w:cs="宋体"/>
          <w:color w:val="auto"/>
          <w:sz w:val="24"/>
          <w:szCs w:val="24"/>
          <w:highlight w:val="none"/>
          <w:lang w:val="en-US" w:eastAsia="zh-CN"/>
        </w:rPr>
        <w:t>1</w:t>
      </w:r>
      <w:r>
        <w:rPr>
          <w:rFonts w:hint="eastAsia" w:ascii="宋体" w:hAnsi="宋体" w:cs="宋体"/>
          <w:color w:val="auto"/>
          <w:sz w:val="24"/>
          <w:szCs w:val="24"/>
          <w:highlight w:val="none"/>
        </w:rPr>
        <w:t>付款方式：</w:t>
      </w:r>
    </w:p>
    <w:p>
      <w:pPr>
        <w:tabs>
          <w:tab w:val="left" w:pos="513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w:t>
      </w:r>
      <w:r>
        <w:rPr>
          <w:rFonts w:hint="eastAsia" w:ascii="宋体" w:hAnsi="宋体" w:cs="宋体"/>
          <w:color w:val="auto"/>
          <w:sz w:val="24"/>
          <w:szCs w:val="24"/>
          <w:highlight w:val="none"/>
          <w:lang w:val="en-US" w:eastAsia="zh-CN"/>
        </w:rPr>
        <w:t>1</w:t>
      </w:r>
      <w:r>
        <w:rPr>
          <w:rFonts w:hint="eastAsia" w:ascii="宋体" w:hAnsi="宋体" w:cs="宋体"/>
          <w:color w:val="auto"/>
          <w:sz w:val="24"/>
          <w:szCs w:val="24"/>
          <w:highlight w:val="none"/>
        </w:rPr>
        <w:t>.1</w:t>
      </w:r>
      <w:r>
        <w:rPr>
          <w:rFonts w:hint="eastAsia" w:ascii="宋体" w:hAnsi="宋体" w:cs="宋体"/>
          <w:color w:val="auto"/>
          <w:sz w:val="24"/>
          <w:szCs w:val="24"/>
          <w:highlight w:val="none"/>
        </w:rPr>
        <w:t>合同签订后10个工作日内，</w:t>
      </w:r>
      <w:r>
        <w:rPr>
          <w:rFonts w:hint="eastAsia" w:ascii="宋体" w:hAnsi="宋体" w:cs="宋体"/>
          <w:color w:val="auto"/>
          <w:sz w:val="24"/>
          <w:szCs w:val="24"/>
          <w:highlight w:val="none"/>
          <w:lang w:val="en-US" w:eastAsia="zh-CN"/>
        </w:rPr>
        <w:t>买方</w:t>
      </w:r>
      <w:r>
        <w:rPr>
          <w:rFonts w:hint="eastAsia" w:ascii="宋体" w:hAnsi="宋体" w:cs="宋体"/>
          <w:color w:val="auto"/>
          <w:sz w:val="24"/>
          <w:szCs w:val="24"/>
          <w:highlight w:val="none"/>
        </w:rPr>
        <w:t>向</w:t>
      </w:r>
      <w:r>
        <w:rPr>
          <w:rFonts w:hint="eastAsia" w:ascii="宋体" w:hAnsi="宋体" w:cs="宋体"/>
          <w:color w:val="auto"/>
          <w:sz w:val="24"/>
          <w:szCs w:val="24"/>
          <w:highlight w:val="none"/>
          <w:lang w:val="en-US" w:eastAsia="zh-CN"/>
        </w:rPr>
        <w:t>卖方</w:t>
      </w:r>
      <w:r>
        <w:rPr>
          <w:rFonts w:hint="eastAsia" w:ascii="宋体" w:hAnsi="宋体" w:cs="宋体"/>
          <w:color w:val="auto"/>
          <w:sz w:val="24"/>
          <w:szCs w:val="24"/>
          <w:highlight w:val="none"/>
        </w:rPr>
        <w:t>支付合同总价的</w:t>
      </w:r>
      <w:r>
        <w:rPr>
          <w:rFonts w:hint="eastAsia" w:ascii="宋体" w:hAnsi="宋体" w:cs="宋体"/>
          <w:color w:val="auto"/>
          <w:sz w:val="24"/>
          <w:szCs w:val="24"/>
          <w:highlight w:val="none"/>
          <w:lang w:val="en-US" w:eastAsia="zh-CN"/>
        </w:rPr>
        <w:t>5</w:t>
      </w:r>
      <w:r>
        <w:rPr>
          <w:rFonts w:hint="eastAsia" w:ascii="宋体" w:hAnsi="宋体" w:cs="宋体"/>
          <w:color w:val="auto"/>
          <w:sz w:val="24"/>
          <w:szCs w:val="24"/>
          <w:highlight w:val="none"/>
        </w:rPr>
        <w:t>0%的预付款。</w:t>
      </w:r>
    </w:p>
    <w:p>
      <w:pP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lang w:val="en-US" w:eastAsia="zh-CN"/>
        </w:rPr>
        <w:t>4.1</w:t>
      </w:r>
      <w:r>
        <w:rPr>
          <w:rFonts w:hint="eastAsia" w:ascii="宋体" w:hAnsi="宋体" w:cs="宋体"/>
          <w:color w:val="auto"/>
          <w:sz w:val="24"/>
          <w:szCs w:val="24"/>
          <w:highlight w:val="none"/>
        </w:rPr>
        <w:t>.2供货安装、调试完毕，验收合格后，</w:t>
      </w:r>
      <w:r>
        <w:rPr>
          <w:rFonts w:hint="eastAsia" w:ascii="宋体" w:hAnsi="宋体" w:cs="宋体"/>
          <w:color w:val="auto"/>
          <w:sz w:val="24"/>
          <w:szCs w:val="24"/>
          <w:highlight w:val="none"/>
          <w:lang w:val="en-US" w:eastAsia="zh-CN"/>
        </w:rPr>
        <w:t>卖方</w:t>
      </w:r>
      <w:r>
        <w:rPr>
          <w:rFonts w:hint="eastAsia" w:ascii="宋体" w:hAnsi="宋体" w:cs="宋体"/>
          <w:color w:val="auto"/>
          <w:sz w:val="24"/>
          <w:szCs w:val="24"/>
          <w:highlight w:val="none"/>
        </w:rPr>
        <w:t>开具合同总价100%的正规发票和全部货物清单给</w:t>
      </w:r>
      <w:r>
        <w:rPr>
          <w:rFonts w:hint="eastAsia" w:ascii="宋体" w:hAnsi="宋体" w:cs="宋体"/>
          <w:color w:val="auto"/>
          <w:sz w:val="24"/>
          <w:szCs w:val="24"/>
          <w:highlight w:val="none"/>
          <w:lang w:val="en-US" w:eastAsia="zh-CN"/>
        </w:rPr>
        <w:t>买方</w:t>
      </w:r>
      <w:r>
        <w:rPr>
          <w:rFonts w:hint="eastAsia" w:ascii="宋体" w:hAnsi="宋体" w:cs="宋体"/>
          <w:color w:val="auto"/>
          <w:sz w:val="24"/>
          <w:szCs w:val="24"/>
          <w:highlight w:val="none"/>
        </w:rPr>
        <w:t>，</w:t>
      </w:r>
      <w:r>
        <w:rPr>
          <w:rFonts w:hint="eastAsia" w:ascii="宋体" w:hAnsi="宋体" w:cs="宋体"/>
          <w:color w:val="auto"/>
          <w:sz w:val="24"/>
          <w:szCs w:val="24"/>
          <w:highlight w:val="none"/>
          <w:lang w:val="en-US" w:eastAsia="zh-CN"/>
        </w:rPr>
        <w:t>买方</w:t>
      </w:r>
      <w:r>
        <w:rPr>
          <w:rFonts w:hint="eastAsia" w:ascii="宋体" w:hAnsi="宋体" w:cs="宋体"/>
          <w:color w:val="auto"/>
          <w:sz w:val="24"/>
          <w:szCs w:val="24"/>
          <w:highlight w:val="none"/>
        </w:rPr>
        <w:t>在向</w:t>
      </w:r>
      <w:r>
        <w:rPr>
          <w:rFonts w:hint="eastAsia" w:ascii="宋体" w:hAnsi="宋体" w:cs="宋体"/>
          <w:color w:val="auto"/>
          <w:sz w:val="24"/>
          <w:szCs w:val="24"/>
          <w:highlight w:val="none"/>
          <w:lang w:val="en-US" w:eastAsia="zh-CN"/>
        </w:rPr>
        <w:t>卖方</w:t>
      </w:r>
      <w:r>
        <w:rPr>
          <w:rFonts w:hint="eastAsia" w:ascii="宋体" w:hAnsi="宋体" w:cs="宋体"/>
          <w:color w:val="auto"/>
          <w:sz w:val="24"/>
          <w:szCs w:val="24"/>
          <w:highlight w:val="none"/>
        </w:rPr>
        <w:t>支付合同总价的</w:t>
      </w:r>
      <w:r>
        <w:rPr>
          <w:rFonts w:hint="eastAsia" w:ascii="宋体" w:hAnsi="宋体" w:cs="宋体"/>
          <w:color w:val="auto"/>
          <w:sz w:val="24"/>
          <w:szCs w:val="24"/>
          <w:highlight w:val="none"/>
          <w:lang w:val="en-US" w:eastAsia="zh-CN"/>
        </w:rPr>
        <w:t>5</w:t>
      </w:r>
      <w:r>
        <w:rPr>
          <w:rFonts w:hint="eastAsia" w:ascii="宋体" w:hAnsi="宋体" w:cs="宋体"/>
          <w:color w:val="auto"/>
          <w:sz w:val="24"/>
          <w:szCs w:val="24"/>
          <w:highlight w:val="none"/>
        </w:rPr>
        <w:t>0%的款项。</w:t>
      </w:r>
    </w:p>
    <w:p>
      <w:pPr>
        <w:tabs>
          <w:tab w:val="left" w:pos="5130"/>
        </w:tabs>
        <w:spacing w:line="360" w:lineRule="auto"/>
        <w:ind w:firstLine="480" w:firstLineChars="200"/>
        <w:rPr>
          <w:rFonts w:ascii="宋体" w:hAnsi="宋体" w:cs="宋体"/>
          <w:color w:val="auto"/>
          <w:sz w:val="24"/>
          <w:szCs w:val="24"/>
          <w:highlight w:val="none"/>
          <w:u w:val="single"/>
        </w:rPr>
      </w:pPr>
      <w:r>
        <w:rPr>
          <w:rFonts w:hint="eastAsia" w:ascii="宋体" w:hAnsi="宋体" w:cs="宋体"/>
          <w:color w:val="auto"/>
          <w:sz w:val="24"/>
          <w:szCs w:val="24"/>
          <w:highlight w:val="none"/>
          <w:u w:val="single"/>
        </w:rPr>
        <w:t>4.</w:t>
      </w:r>
      <w:r>
        <w:rPr>
          <w:rFonts w:hint="eastAsia" w:ascii="宋体" w:hAnsi="宋体" w:cs="宋体"/>
          <w:color w:val="auto"/>
          <w:sz w:val="24"/>
          <w:szCs w:val="24"/>
          <w:highlight w:val="none"/>
          <w:u w:val="single"/>
          <w:lang w:val="en-US" w:eastAsia="zh-CN"/>
        </w:rPr>
        <w:t>1</w:t>
      </w:r>
      <w:r>
        <w:rPr>
          <w:rFonts w:hint="eastAsia" w:ascii="宋体" w:hAnsi="宋体" w:cs="宋体"/>
          <w:color w:val="auto"/>
          <w:sz w:val="24"/>
          <w:szCs w:val="24"/>
          <w:highlight w:val="none"/>
          <w:u w:val="single"/>
        </w:rPr>
        <w:t>.3付款时需具备以下材料：</w:t>
      </w:r>
    </w:p>
    <w:p>
      <w:pPr>
        <w:tabs>
          <w:tab w:val="left" w:pos="5130"/>
        </w:tabs>
        <w:spacing w:line="360" w:lineRule="auto"/>
        <w:ind w:firstLine="720" w:firstLineChars="300"/>
        <w:rPr>
          <w:rFonts w:ascii="宋体" w:hAnsi="宋体" w:cs="宋体"/>
          <w:color w:val="auto"/>
          <w:sz w:val="24"/>
          <w:szCs w:val="24"/>
          <w:highlight w:val="none"/>
          <w:u w:val="single"/>
        </w:rPr>
      </w:pPr>
      <w:r>
        <w:rPr>
          <w:rFonts w:hint="eastAsia" w:ascii="宋体" w:hAnsi="宋体" w:cs="宋体"/>
          <w:color w:val="auto"/>
          <w:sz w:val="24"/>
          <w:szCs w:val="24"/>
          <w:highlight w:val="none"/>
          <w:u w:val="single"/>
        </w:rPr>
        <w:t>（1）货物发票（需附清单）；</w:t>
      </w:r>
    </w:p>
    <w:p>
      <w:pPr>
        <w:tabs>
          <w:tab w:val="left" w:pos="5130"/>
        </w:tabs>
        <w:spacing w:line="360" w:lineRule="auto"/>
        <w:ind w:firstLine="720" w:firstLineChars="300"/>
        <w:rPr>
          <w:rFonts w:ascii="宋体" w:hAnsi="宋体" w:cs="宋体"/>
          <w:color w:val="auto"/>
          <w:sz w:val="24"/>
          <w:szCs w:val="24"/>
          <w:highlight w:val="none"/>
          <w:u w:val="single"/>
        </w:rPr>
      </w:pPr>
      <w:r>
        <w:rPr>
          <w:rFonts w:hint="eastAsia" w:ascii="宋体" w:hAnsi="宋体" w:cs="宋体"/>
          <w:color w:val="auto"/>
          <w:sz w:val="24"/>
          <w:szCs w:val="24"/>
          <w:highlight w:val="none"/>
          <w:u w:val="single"/>
        </w:rPr>
        <w:t>4.</w:t>
      </w:r>
      <w:r>
        <w:rPr>
          <w:rFonts w:hint="eastAsia" w:ascii="宋体" w:hAnsi="宋体" w:cs="宋体"/>
          <w:color w:val="auto"/>
          <w:sz w:val="24"/>
          <w:szCs w:val="24"/>
          <w:highlight w:val="none"/>
          <w:u w:val="single"/>
          <w:lang w:val="en-US" w:eastAsia="zh-CN"/>
        </w:rPr>
        <w:t>2</w:t>
      </w:r>
      <w:r>
        <w:rPr>
          <w:rFonts w:hint="eastAsia" w:ascii="宋体" w:hAnsi="宋体" w:cs="宋体"/>
          <w:color w:val="auto"/>
          <w:sz w:val="24"/>
          <w:szCs w:val="24"/>
          <w:highlight w:val="none"/>
        </w:rPr>
        <w:t>卖方指定收款账户如下：</w:t>
      </w:r>
    </w:p>
    <w:p>
      <w:pPr>
        <w:spacing w:line="360" w:lineRule="auto"/>
        <w:ind w:firstLine="720" w:firstLineChars="300"/>
        <w:rPr>
          <w:rFonts w:ascii="宋体" w:hAnsi="宋体" w:cs="宋体"/>
          <w:color w:val="auto"/>
          <w:sz w:val="24"/>
          <w:szCs w:val="24"/>
          <w:highlight w:val="none"/>
          <w:u w:val="single"/>
        </w:rPr>
      </w:pPr>
      <w:r>
        <w:rPr>
          <w:rFonts w:hint="eastAsia" w:ascii="宋体" w:hAnsi="宋体" w:cs="宋体"/>
          <w:color w:val="auto"/>
          <w:sz w:val="24"/>
          <w:szCs w:val="24"/>
          <w:highlight w:val="none"/>
        </w:rPr>
        <w:t>卖方全称：厦门万翔网络商务有限公司</w:t>
      </w:r>
    </w:p>
    <w:p>
      <w:pPr>
        <w:spacing w:line="360" w:lineRule="auto"/>
        <w:ind w:firstLine="720" w:firstLineChars="300"/>
        <w:rPr>
          <w:rFonts w:ascii="宋体" w:hAnsi="宋体" w:cs="宋体"/>
          <w:color w:val="auto"/>
          <w:sz w:val="24"/>
          <w:szCs w:val="24"/>
          <w:highlight w:val="none"/>
        </w:rPr>
      </w:pPr>
      <w:r>
        <w:rPr>
          <w:rFonts w:hint="eastAsia" w:ascii="宋体" w:hAnsi="宋体" w:cs="宋体"/>
          <w:color w:val="auto"/>
          <w:sz w:val="24"/>
          <w:szCs w:val="24"/>
          <w:highlight w:val="none"/>
        </w:rPr>
        <w:t>开户行：</w:t>
      </w:r>
      <w:r>
        <w:rPr>
          <w:rFonts w:hint="eastAsia" w:ascii="宋体" w:hAnsi="宋体" w:cs="宋体"/>
          <w:color w:val="auto"/>
          <w:sz w:val="24"/>
          <w:szCs w:val="24"/>
          <w:highlight w:val="none"/>
          <w:u w:val="single"/>
        </w:rPr>
        <w:t>中国建设银行股份有限公司厦门自贸试验区航空港支行</w:t>
      </w:r>
    </w:p>
    <w:p>
      <w:pPr>
        <w:spacing w:line="360" w:lineRule="auto"/>
        <w:ind w:firstLine="720" w:firstLineChars="300"/>
        <w:rPr>
          <w:rFonts w:ascii="宋体" w:hAnsi="宋体" w:cs="宋体"/>
          <w:color w:val="auto"/>
          <w:sz w:val="24"/>
          <w:szCs w:val="24"/>
          <w:highlight w:val="none"/>
        </w:rPr>
      </w:pPr>
      <w:r>
        <w:rPr>
          <w:rFonts w:hint="eastAsia" w:ascii="宋体" w:hAnsi="宋体" w:cs="宋体"/>
          <w:color w:val="auto"/>
          <w:sz w:val="24"/>
          <w:szCs w:val="24"/>
          <w:highlight w:val="none"/>
        </w:rPr>
        <w:t>账号：</w:t>
      </w:r>
      <w:r>
        <w:rPr>
          <w:rFonts w:hint="eastAsia" w:ascii="宋体" w:hAnsi="宋体" w:cs="宋体"/>
          <w:color w:val="auto"/>
          <w:sz w:val="24"/>
          <w:szCs w:val="24"/>
          <w:highlight w:val="none"/>
          <w:u w:val="single"/>
        </w:rPr>
        <w:t>35101570201052503924</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5、售后服务</w:t>
      </w:r>
    </w:p>
    <w:p>
      <w:pPr>
        <w:tabs>
          <w:tab w:val="left" w:pos="0"/>
        </w:tabs>
        <w:adjustRightInd w:val="0"/>
        <w:spacing w:line="360" w:lineRule="auto"/>
        <w:ind w:firstLine="480" w:firstLineChars="200"/>
        <w:rPr>
          <w:rFonts w:ascii="宋体" w:hAnsi="宋体" w:cs="宋体"/>
          <w:bCs/>
          <w:color w:val="auto"/>
          <w:sz w:val="24"/>
          <w:szCs w:val="24"/>
          <w:highlight w:val="none"/>
        </w:rPr>
      </w:pPr>
      <w:r>
        <w:rPr>
          <w:rFonts w:hint="eastAsia" w:ascii="宋体" w:hAnsi="宋体" w:cs="宋体"/>
          <w:bCs/>
          <w:color w:val="auto"/>
          <w:sz w:val="24"/>
          <w:szCs w:val="24"/>
          <w:highlight w:val="none"/>
        </w:rPr>
        <w:t>货物验收后的保修等售后服务由中标供应商提供，买方应就货物保修等售后服务与中标供应商另行签订相应服务合同，卖方不向买方承担保修等售后服务。</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6、违约责任</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6.1除不可抗力外，买方不能在本合同规定的时间内支付相应的货款时,应向卖方支付违约金,其支付办法是,每延迟一日,违约金为逾期应付款的万分之四,依此累加。</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6.2除不可抗力外，卖方不能按时交货或完成安装时,应提前五天以书面的形式通知买方,并征得买方同意,否则应向买方支付违约金,其支付办法是,每延迟一日,违约金为逾期交货或安装部分价款的万分之四，依此累加。</w:t>
      </w:r>
    </w:p>
    <w:p>
      <w:pPr>
        <w:spacing w:line="360" w:lineRule="auto"/>
        <w:ind w:firstLine="523" w:firstLineChars="218"/>
        <w:rPr>
          <w:rFonts w:ascii="宋体" w:hAnsi="宋体" w:cs="宋体"/>
          <w:color w:val="auto"/>
          <w:sz w:val="24"/>
          <w:szCs w:val="24"/>
          <w:highlight w:val="none"/>
        </w:rPr>
      </w:pPr>
      <w:r>
        <w:rPr>
          <w:rFonts w:hint="eastAsia" w:ascii="宋体" w:hAnsi="宋体" w:cs="宋体"/>
          <w:color w:val="auto"/>
          <w:sz w:val="24"/>
          <w:szCs w:val="24"/>
          <w:highlight w:val="none"/>
        </w:rPr>
        <w:t>6.3一方违反合同造成另一方损失的，违约方应向守约方承担相应的赔偿责任。本合同约定的违约金不足以弥补守约方损失的，违约方应继续承担赔偿责任。</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7、不可抗力</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7.1因不可抗力造成违约的，遭受不可抗力一方应及时向对方通报不能履行或不能完全履行的理由，并在随后取得有关主管机关证明后的15日内向另一方提供不可抗力发生以及持续期间的充分证据。基于以上行为，允许遭受不可抗力一方延期履行、部分履行或者不履行合同，并根据情况可部分或全部免于承担违约责任。</w:t>
      </w:r>
    </w:p>
    <w:p>
      <w:pPr>
        <w:spacing w:line="360" w:lineRule="auto"/>
        <w:ind w:firstLine="470" w:firstLineChars="196"/>
        <w:rPr>
          <w:rFonts w:ascii="宋体" w:hAnsi="宋体" w:cs="宋体"/>
          <w:color w:val="auto"/>
          <w:sz w:val="24"/>
          <w:szCs w:val="24"/>
          <w:highlight w:val="none"/>
        </w:rPr>
      </w:pPr>
      <w:r>
        <w:rPr>
          <w:rFonts w:hint="eastAsia" w:ascii="宋体" w:hAnsi="宋体" w:cs="宋体"/>
          <w:color w:val="auto"/>
          <w:sz w:val="24"/>
          <w:szCs w:val="24"/>
          <w:highlight w:val="none"/>
        </w:rPr>
        <w:t>7.2本合同中的不可抗力指不能预见、不能避免并不能克服的客观情况。包括但不限于：自然灾害如地震、台风、洪水、火灾；政府行为、法律规定或其适用的变化或者其他任何无法预见、避免或者控制的事件。</w:t>
      </w:r>
    </w:p>
    <w:p>
      <w:pPr>
        <w:spacing w:line="360" w:lineRule="auto"/>
        <w:ind w:firstLine="470" w:firstLineChars="196"/>
        <w:rPr>
          <w:rFonts w:ascii="宋体" w:hAnsi="宋体" w:cs="宋体"/>
          <w:b/>
          <w:color w:val="auto"/>
          <w:sz w:val="24"/>
          <w:szCs w:val="24"/>
          <w:highlight w:val="none"/>
        </w:rPr>
      </w:pPr>
      <w:r>
        <w:rPr>
          <w:rFonts w:hint="eastAsia" w:ascii="宋体" w:hAnsi="宋体" w:cs="宋体"/>
          <w:color w:val="auto"/>
          <w:sz w:val="24"/>
          <w:szCs w:val="24"/>
          <w:highlight w:val="none"/>
        </w:rPr>
        <w:t>7.3当事人一方因不可抗力的原因不能履行合同的，应及时通知对方，以减轻可能给对方造成的损失，并应当在合理期限内提供证明。</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8、合同纠纷处理方式：</w:t>
      </w:r>
    </w:p>
    <w:p>
      <w:pPr>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因本合同或与本合同有关的一切事项发生争议，由双方友好协商解决。协商不成的，任何一方均可向交货地人民法院提起诉讼。</w:t>
      </w:r>
    </w:p>
    <w:p>
      <w:pPr>
        <w:spacing w:line="360" w:lineRule="auto"/>
        <w:rPr>
          <w:rFonts w:ascii="宋体" w:hAnsi="宋体" w:cs="宋体"/>
          <w:b/>
          <w:color w:val="auto"/>
          <w:sz w:val="24"/>
          <w:szCs w:val="24"/>
          <w:highlight w:val="none"/>
        </w:rPr>
      </w:pPr>
      <w:r>
        <w:rPr>
          <w:rFonts w:hint="eastAsia" w:ascii="宋体" w:hAnsi="宋体" w:cs="宋体"/>
          <w:b/>
          <w:color w:val="auto"/>
          <w:sz w:val="24"/>
          <w:szCs w:val="24"/>
          <w:highlight w:val="none"/>
        </w:rPr>
        <w:t>9、其他约定</w:t>
      </w:r>
    </w:p>
    <w:p>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9.1买卖双方同意，卖方供货经买方验收完成后，卖方即履行完毕所有合同义务。</w:t>
      </w:r>
    </w:p>
    <w:p>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9.2本合同未尽事宜，双方另行补充。</w:t>
      </w:r>
    </w:p>
    <w:p>
      <w:pPr>
        <w:spacing w:line="360" w:lineRule="auto"/>
        <w:ind w:firstLine="600" w:firstLineChars="250"/>
        <w:rPr>
          <w:rFonts w:ascii="宋体" w:hAnsi="宋体" w:cs="宋体"/>
          <w:color w:val="auto"/>
          <w:sz w:val="24"/>
          <w:szCs w:val="24"/>
          <w:highlight w:val="none"/>
        </w:rPr>
      </w:pPr>
      <w:r>
        <w:rPr>
          <w:rFonts w:hint="eastAsia" w:ascii="宋体" w:hAnsi="宋体" w:cs="宋体"/>
          <w:color w:val="auto"/>
          <w:sz w:val="24"/>
          <w:szCs w:val="24"/>
          <w:highlight w:val="none"/>
        </w:rPr>
        <w:t>9.3本合同一式伍份，经双方签订之日起生效。买方执</w:t>
      </w:r>
      <w:r>
        <w:rPr>
          <w:rFonts w:hint="eastAsia" w:ascii="宋体" w:hAnsi="宋体" w:cs="宋体"/>
          <w:color w:val="auto"/>
          <w:sz w:val="24"/>
          <w:szCs w:val="24"/>
          <w:highlight w:val="none"/>
          <w:u w:val="single"/>
        </w:rPr>
        <w:t>贰</w:t>
      </w:r>
      <w:r>
        <w:rPr>
          <w:rFonts w:hint="eastAsia" w:ascii="宋体" w:hAnsi="宋体" w:cs="宋体"/>
          <w:color w:val="auto"/>
          <w:sz w:val="24"/>
          <w:szCs w:val="24"/>
          <w:highlight w:val="none"/>
        </w:rPr>
        <w:t>份，卖方执</w:t>
      </w:r>
      <w:r>
        <w:rPr>
          <w:rFonts w:hint="eastAsia" w:ascii="宋体" w:hAnsi="宋体" w:cs="宋体"/>
          <w:color w:val="auto"/>
          <w:sz w:val="24"/>
          <w:szCs w:val="24"/>
          <w:highlight w:val="none"/>
          <w:u w:val="single"/>
        </w:rPr>
        <w:t>贰</w:t>
      </w:r>
      <w:r>
        <w:rPr>
          <w:rFonts w:hint="eastAsia" w:ascii="宋体" w:hAnsi="宋体" w:cs="宋体"/>
          <w:color w:val="auto"/>
          <w:sz w:val="24"/>
          <w:szCs w:val="24"/>
          <w:highlight w:val="none"/>
        </w:rPr>
        <w:t>份，送厦门市财政局政府采购监管处备案壹份，具有同等法律效力。</w:t>
      </w:r>
    </w:p>
    <w:p>
      <w:pPr>
        <w:spacing w:line="360" w:lineRule="auto"/>
        <w:rPr>
          <w:rFonts w:ascii="宋体" w:hAnsi="宋体" w:cs="宋体"/>
          <w:color w:val="auto"/>
          <w:sz w:val="24"/>
          <w:szCs w:val="24"/>
          <w:highlight w:val="none"/>
        </w:rPr>
      </w:pPr>
    </w:p>
    <w:p>
      <w:pPr>
        <w:spacing w:line="360" w:lineRule="auto"/>
        <w:rPr>
          <w:rFonts w:ascii="宋体" w:hAnsi="宋体" w:cs="宋体"/>
          <w:color w:val="auto"/>
          <w:sz w:val="24"/>
          <w:szCs w:val="24"/>
          <w:highlight w:val="none"/>
        </w:rPr>
      </w:pPr>
    </w:p>
    <w:p>
      <w:pPr>
        <w:spacing w:line="360" w:lineRule="auto"/>
        <w:rPr>
          <w:rFonts w:ascii="宋体" w:hAnsi="宋体" w:cs="宋体"/>
          <w:color w:val="auto"/>
          <w:sz w:val="24"/>
          <w:szCs w:val="24"/>
          <w:highlight w:val="none"/>
        </w:rPr>
      </w:pPr>
    </w:p>
    <w:p>
      <w:pPr>
        <w:spacing w:line="360" w:lineRule="auto"/>
        <w:rPr>
          <w:rFonts w:ascii="宋体" w:hAnsi="宋体" w:cs="宋体"/>
          <w:color w:val="auto"/>
          <w:sz w:val="24"/>
          <w:szCs w:val="24"/>
          <w:highlight w:val="none"/>
        </w:rPr>
      </w:pP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卖方：厦门万翔网络商务有限公司                   买方： </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单位地址：厦门市湖里区机场北路476号             单位地址： </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法定代表人：                                     法定代表人：</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授权代表：                                       授权代表：</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签订时间：                                       签订时间：</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电话：                                           电话：</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 xml:space="preserve">开户银行：建设银行股份有限公司厦门分行机场支行   开户银行： </w:t>
      </w:r>
    </w:p>
    <w:p>
      <w:pPr>
        <w:spacing w:line="360" w:lineRule="auto"/>
        <w:rPr>
          <w:rFonts w:ascii="宋体" w:hAnsi="宋体" w:cs="宋体"/>
          <w:color w:val="auto"/>
          <w:sz w:val="24"/>
          <w:szCs w:val="24"/>
          <w:highlight w:val="none"/>
        </w:rPr>
      </w:pPr>
      <w:r>
        <w:rPr>
          <w:rFonts w:hint="eastAsia" w:ascii="宋体" w:hAnsi="宋体" w:cs="宋体"/>
          <w:color w:val="auto"/>
          <w:sz w:val="24"/>
          <w:szCs w:val="24"/>
          <w:highlight w:val="none"/>
        </w:rPr>
        <w:t>账号：35101570201052503924                       账号：</w:t>
      </w:r>
    </w:p>
    <w:p>
      <w:pPr>
        <w:spacing w:line="360" w:lineRule="auto"/>
        <w:rPr>
          <w:color w:val="auto"/>
          <w:highlight w:val="none"/>
        </w:rPr>
      </w:pPr>
    </w:p>
    <w:sectPr>
      <w:footerReference r:id="rId12" w:type="default"/>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幼圆">
    <w:panose1 w:val="02010509060101010101"/>
    <w:charset w:val="86"/>
    <w:family w:val="modern"/>
    <w:pitch w:val="default"/>
    <w:sig w:usb0="00000001" w:usb1="080E0000" w:usb2="00000000" w:usb3="00000000" w:csb0="00040000" w:csb1="00000000"/>
  </w:font>
  <w:font w:name="新宋体">
    <w:panose1 w:val="02010609030101010101"/>
    <w:charset w:val="86"/>
    <w:family w:val="modern"/>
    <w:pitch w:val="default"/>
    <w:sig w:usb0="00000203" w:usb1="288F0000" w:usb2="00000006" w:usb3="00000000" w:csb0="00040001"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rPr>
        <w:rFonts w:ascii="宋体" w:hAnsi="宋体"/>
        <w:sz w:val="21"/>
        <w:szCs w:val="21"/>
      </w:rPr>
    </w:pPr>
    <w:r>
      <w:rPr>
        <w:rFonts w:hint="eastAsia"/>
      </w:rPr>
      <w:t xml:space="preserve">                                          </w:t>
    </w:r>
    <w:r>
      <w:rPr>
        <w:rFonts w:hint="eastAsia" w:ascii="宋体" w:hAnsi="宋体"/>
        <w:sz w:val="21"/>
        <w:szCs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pPr>
    <w:r>
      <w:rPr>
        <w:rFonts w:hint="eastAsia"/>
      </w:rPr>
      <w:t>3-1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rPr>
        <w:rFonts w:ascii="宋体" w:hAnsi="宋体"/>
      </w:rPr>
    </w:pPr>
    <w:r>
      <w:rPr>
        <w:rFonts w:hint="eastAsia"/>
      </w:rPr>
      <w:t xml:space="preserve">                                          </w:t>
    </w:r>
    <w:r>
      <w:rPr>
        <w:rFonts w:hint="eastAsia" w:ascii="宋体" w:hAnsi="宋体"/>
        <w:sz w:val="21"/>
        <w:szCs w:val="21"/>
      </w:rPr>
      <w:t xml:space="preserve">   </w:t>
    </w:r>
    <w:r>
      <w:rPr>
        <w:rFonts w:ascii="宋体" w:hAnsi="宋体"/>
      </w:rPr>
      <w:t xml:space="preserve"> 1-</w:t>
    </w:r>
    <w:r>
      <w:rPr>
        <w:rFonts w:ascii="宋体" w:hAnsi="宋体"/>
      </w:rPr>
      <w:fldChar w:fldCharType="begin"/>
    </w:r>
    <w:r>
      <w:rPr>
        <w:rStyle w:val="15"/>
        <w:rFonts w:ascii="宋体" w:hAnsi="宋体"/>
      </w:rPr>
      <w:instrText xml:space="preserve"> PAGE </w:instrText>
    </w:r>
    <w:r>
      <w:rPr>
        <w:rFonts w:ascii="宋体" w:hAnsi="宋体"/>
      </w:rPr>
      <w:fldChar w:fldCharType="separate"/>
    </w:r>
    <w:r>
      <w:rPr>
        <w:rStyle w:val="15"/>
        <w:rFonts w:ascii="宋体" w:hAnsi="宋体"/>
      </w:rPr>
      <w:t>4</w:t>
    </w:r>
    <w:r>
      <w:rPr>
        <w:rFonts w:ascii="宋体" w:hAnsi="宋体"/>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rPr>
        <w:rFonts w:ascii="宋体" w:hAnsi="宋体"/>
      </w:rPr>
    </w:pPr>
    <w:r>
      <w:rPr>
        <w:rStyle w:val="15"/>
        <w:rFonts w:ascii="宋体" w:hAnsi="宋体"/>
        <w:szCs w:val="20"/>
      </w:rPr>
      <w:t>2-1-</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23</w:t>
    </w:r>
    <w:r>
      <w:rPr>
        <w:rFonts w:ascii="宋体" w:hAnsi="宋体"/>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tabs>
        <w:tab w:val="right" w:pos="8460"/>
        <w:tab w:val="clear" w:pos="8306"/>
      </w:tabs>
      <w:ind w:right="-89" w:firstLine="420"/>
      <w:jc w:val="center"/>
      <w:rPr>
        <w:rFonts w:ascii="宋体" w:hAnsi="宋体"/>
      </w:rPr>
    </w:pPr>
    <w:r>
      <w:rPr>
        <w:rFonts w:ascii="宋体" w:hAnsi="宋体"/>
        <w:szCs w:val="20"/>
      </w:rPr>
      <w:t xml:space="preserve"> 3-</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10</w:t>
    </w:r>
    <w:r>
      <w:rPr>
        <w:rFonts w:ascii="宋体" w:hAnsi="宋体"/>
        <w:szCs w:val="20"/>
      </w:rPr>
      <w:fldChar w:fldCharType="end"/>
    </w:r>
    <w:r>
      <w:rPr>
        <w:rFonts w:ascii="宋体" w:hAnsi="宋体"/>
        <w:szCs w:val="20"/>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tabs>
        <w:tab w:val="right" w:pos="8460"/>
        <w:tab w:val="clear" w:pos="8306"/>
      </w:tabs>
      <w:ind w:right="-89" w:firstLine="420"/>
      <w:jc w:val="center"/>
      <w:rPr>
        <w:rFonts w:ascii="宋体" w:hAnsi="宋体"/>
      </w:rPr>
    </w:pPr>
    <w:r>
      <w:rPr>
        <w:rFonts w:ascii="宋体" w:hAnsi="宋体"/>
        <w:szCs w:val="20"/>
      </w:rPr>
      <w:t xml:space="preserve"> 3-</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15</w:t>
    </w:r>
    <w:r>
      <w:rPr>
        <w:rFonts w:ascii="宋体" w:hAnsi="宋体"/>
        <w:szCs w:val="20"/>
      </w:rPr>
      <w:fldChar w:fldCharType="end"/>
    </w:r>
    <w:r>
      <w:rPr>
        <w:rFonts w:ascii="宋体" w:hAnsi="宋体"/>
        <w:szCs w:val="20"/>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tabs>
        <w:tab w:val="right" w:pos="8460"/>
        <w:tab w:val="clear" w:pos="8306"/>
      </w:tabs>
      <w:ind w:right="-89" w:firstLine="420"/>
      <w:jc w:val="center"/>
      <w:rPr>
        <w:rFonts w:ascii="宋体" w:hAnsi="宋体"/>
      </w:rPr>
    </w:pPr>
    <w:r>
      <w:rPr>
        <w:rFonts w:ascii="宋体" w:hAnsi="宋体"/>
        <w:szCs w:val="20"/>
      </w:rPr>
      <w:t xml:space="preserve"> </w:t>
    </w:r>
    <w:r>
      <w:rPr>
        <w:rFonts w:hint="eastAsia" w:ascii="宋体" w:hAnsi="宋体"/>
        <w:szCs w:val="20"/>
      </w:rPr>
      <w:t>4</w:t>
    </w:r>
    <w:r>
      <w:rPr>
        <w:rFonts w:ascii="宋体" w:hAnsi="宋体"/>
        <w:szCs w:val="20"/>
      </w:rPr>
      <w:t>-</w:t>
    </w:r>
    <w:r>
      <w:rPr>
        <w:rFonts w:ascii="宋体" w:hAnsi="宋体"/>
        <w:szCs w:val="20"/>
      </w:rPr>
      <w:fldChar w:fldCharType="begin"/>
    </w:r>
    <w:r>
      <w:rPr>
        <w:rStyle w:val="15"/>
        <w:rFonts w:ascii="宋体" w:hAnsi="宋体"/>
        <w:szCs w:val="20"/>
      </w:rPr>
      <w:instrText xml:space="preserve"> PAGE </w:instrText>
    </w:r>
    <w:r>
      <w:rPr>
        <w:rFonts w:ascii="宋体" w:hAnsi="宋体"/>
        <w:szCs w:val="20"/>
      </w:rPr>
      <w:fldChar w:fldCharType="separate"/>
    </w:r>
    <w:r>
      <w:rPr>
        <w:rStyle w:val="15"/>
        <w:rFonts w:ascii="宋体" w:hAnsi="宋体"/>
        <w:szCs w:val="20"/>
      </w:rPr>
      <w:t>2</w:t>
    </w:r>
    <w:r>
      <w:rPr>
        <w:rFonts w:ascii="宋体" w:hAnsi="宋体"/>
        <w:szCs w:val="20"/>
      </w:rPr>
      <w:fldChar w:fldCharType="end"/>
    </w:r>
    <w:r>
      <w:rPr>
        <w:rFonts w:ascii="宋体" w:hAnsi="宋体"/>
        <w:szCs w:val="20"/>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B4F27D4"/>
    <w:multiLevelType w:val="singleLevel"/>
    <w:tmpl w:val="CB4F27D4"/>
    <w:lvl w:ilvl="0" w:tentative="0">
      <w:start w:val="1"/>
      <w:numFmt w:val="decimal"/>
      <w:lvlText w:val="%1."/>
      <w:lvlJc w:val="left"/>
      <w:pPr>
        <w:tabs>
          <w:tab w:val="left" w:pos="312"/>
        </w:tabs>
      </w:pPr>
    </w:lvl>
  </w:abstractNum>
  <w:abstractNum w:abstractNumId="1">
    <w:nsid w:val="25C22B40"/>
    <w:multiLevelType w:val="multilevel"/>
    <w:tmpl w:val="25C22B40"/>
    <w:lvl w:ilvl="0" w:tentative="0">
      <w:start w:val="1"/>
      <w:numFmt w:val="japaneseCounting"/>
      <w:lvlText w:val="%1、"/>
      <w:lvlJc w:val="left"/>
      <w:pPr>
        <w:tabs>
          <w:tab w:val="left" w:pos="480"/>
        </w:tabs>
        <w:ind w:left="480" w:hanging="48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443CAD3E"/>
    <w:multiLevelType w:val="singleLevel"/>
    <w:tmpl w:val="443CAD3E"/>
    <w:lvl w:ilvl="0" w:tentative="0">
      <w:start w:val="1"/>
      <w:numFmt w:val="decimal"/>
      <w:lvlText w:val="%1."/>
      <w:lvlJc w:val="left"/>
      <w:pPr>
        <w:tabs>
          <w:tab w:val="left" w:pos="312"/>
        </w:tabs>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QyOGQ4ZWUxYTFmMTAzMjkwNmY0OWZjM2ZiMDFlYjMifQ=="/>
  </w:docVars>
  <w:rsids>
    <w:rsidRoot w:val="00000000"/>
    <w:rsid w:val="03B03B10"/>
    <w:rsid w:val="08580825"/>
    <w:rsid w:val="0B5C2086"/>
    <w:rsid w:val="102B2027"/>
    <w:rsid w:val="123F625E"/>
    <w:rsid w:val="14C55A07"/>
    <w:rsid w:val="17C74D2B"/>
    <w:rsid w:val="189A3604"/>
    <w:rsid w:val="19D674A8"/>
    <w:rsid w:val="1FD224BF"/>
    <w:rsid w:val="292024ED"/>
    <w:rsid w:val="2B485D1D"/>
    <w:rsid w:val="2C7219A3"/>
    <w:rsid w:val="2CAE1BBE"/>
    <w:rsid w:val="35727C2D"/>
    <w:rsid w:val="3C0F6C5E"/>
    <w:rsid w:val="3CB20D7E"/>
    <w:rsid w:val="3F88629F"/>
    <w:rsid w:val="41083B3B"/>
    <w:rsid w:val="416B7C26"/>
    <w:rsid w:val="4907292A"/>
    <w:rsid w:val="49C8030C"/>
    <w:rsid w:val="4E824F2D"/>
    <w:rsid w:val="4F74239C"/>
    <w:rsid w:val="501F0559"/>
    <w:rsid w:val="50454464"/>
    <w:rsid w:val="50C3182D"/>
    <w:rsid w:val="530C3017"/>
    <w:rsid w:val="55BB6F76"/>
    <w:rsid w:val="5A100D6E"/>
    <w:rsid w:val="60936B26"/>
    <w:rsid w:val="654A70CE"/>
    <w:rsid w:val="68633281"/>
    <w:rsid w:val="6C327B3B"/>
    <w:rsid w:val="6D341690"/>
    <w:rsid w:val="70457711"/>
    <w:rsid w:val="729F57FE"/>
    <w:rsid w:val="741144D9"/>
    <w:rsid w:val="752543DE"/>
    <w:rsid w:val="788A2AAC"/>
    <w:rsid w:val="792627D5"/>
    <w:rsid w:val="7A622A67"/>
    <w:rsid w:val="7F8976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13">
    <w:name w:val="Default Paragraph Font"/>
    <w:semiHidden/>
    <w:uiPriority w:val="0"/>
  </w:style>
  <w:style w:type="table" w:default="1" w:styleId="12">
    <w:name w:val="Normal Table"/>
    <w:semiHidden/>
    <w:qFormat/>
    <w:uiPriority w:val="0"/>
    <w:tblPr>
      <w:tblCellMar>
        <w:top w:w="0" w:type="dxa"/>
        <w:left w:w="108" w:type="dxa"/>
        <w:bottom w:w="0" w:type="dxa"/>
        <w:right w:w="108" w:type="dxa"/>
      </w:tblCellMar>
    </w:tblPr>
  </w:style>
  <w:style w:type="paragraph" w:customStyle="1" w:styleId="2">
    <w:name w:val="Heading2"/>
    <w:basedOn w:val="1"/>
    <w:next w:val="1"/>
    <w:qFormat/>
    <w:uiPriority w:val="0"/>
    <w:pPr>
      <w:textAlignment w:val="baseline"/>
    </w:pPr>
    <w:rPr>
      <w:rFonts w:ascii="等线" w:hAnsi="等线" w:eastAsia="等线"/>
      <w:sz w:val="30"/>
      <w:szCs w:val="20"/>
    </w:rPr>
  </w:style>
  <w:style w:type="paragraph" w:styleId="3">
    <w:name w:val="Normal Indent"/>
    <w:basedOn w:val="1"/>
    <w:qFormat/>
    <w:uiPriority w:val="0"/>
    <w:pPr>
      <w:ind w:firstLine="420"/>
    </w:pPr>
    <w:rPr>
      <w:szCs w:val="20"/>
    </w:rPr>
  </w:style>
  <w:style w:type="paragraph" w:styleId="4">
    <w:name w:val="Body Text"/>
    <w:basedOn w:val="1"/>
    <w:next w:val="5"/>
    <w:qFormat/>
    <w:uiPriority w:val="0"/>
    <w:pPr>
      <w:jc w:val="center"/>
    </w:pPr>
    <w:rPr>
      <w:rFonts w:ascii="幼圆" w:hAnsi="新宋体" w:eastAsia="幼圆"/>
      <w:b/>
      <w:bCs/>
      <w:sz w:val="84"/>
      <w:szCs w:val="20"/>
      <w14:shadow w14:blurRad="50800" w14:dist="38100" w14:dir="2700000" w14:sx="100000" w14:sy="100000" w14:kx="0" w14:ky="0" w14:algn="tl">
        <w14:srgbClr w14:val="000000">
          <w14:alpha w14:val="60000"/>
        </w14:srgbClr>
      </w14:shadow>
    </w:rPr>
  </w:style>
  <w:style w:type="paragraph" w:styleId="5">
    <w:name w:val="Body Text First Indent"/>
    <w:basedOn w:val="4"/>
    <w:next w:val="1"/>
    <w:qFormat/>
    <w:uiPriority w:val="0"/>
    <w:pPr>
      <w:spacing w:after="120"/>
      <w:ind w:firstLine="420" w:firstLineChars="100"/>
      <w:jc w:val="both"/>
    </w:pPr>
    <w:rPr>
      <w:rFonts w:ascii="Times New Roman" w:hAnsi="Times New Roman" w:eastAsia="宋体"/>
      <w:b w:val="0"/>
      <w:bCs w:val="0"/>
      <w:sz w:val="21"/>
      <w:szCs w:val="24"/>
    </w:rPr>
  </w:style>
  <w:style w:type="paragraph" w:styleId="6">
    <w:name w:val="Body Text Indent"/>
    <w:basedOn w:val="1"/>
    <w:next w:val="1"/>
    <w:qFormat/>
    <w:uiPriority w:val="0"/>
    <w:pPr>
      <w:spacing w:after="120"/>
      <w:ind w:left="420" w:leftChars="200"/>
    </w:pPr>
  </w:style>
  <w:style w:type="paragraph" w:styleId="7">
    <w:name w:val="Plain Text"/>
    <w:basedOn w:val="1"/>
    <w:qFormat/>
    <w:uiPriority w:val="0"/>
    <w:rPr>
      <w:rFonts w:ascii="宋体" w:hAnsi="Courier New"/>
      <w:szCs w:val="20"/>
    </w:rPr>
  </w:style>
  <w:style w:type="paragraph" w:styleId="8">
    <w:name w:val="Body Text Indent 2"/>
    <w:basedOn w:val="1"/>
    <w:qFormat/>
    <w:uiPriority w:val="0"/>
    <w:pPr>
      <w:spacing w:after="120" w:line="480" w:lineRule="auto"/>
      <w:ind w:left="420"/>
    </w:pPr>
    <w:rPr>
      <w:szCs w:val="20"/>
    </w:rPr>
  </w:style>
  <w:style w:type="paragraph" w:styleId="9">
    <w:name w:val="footer"/>
    <w:basedOn w:val="1"/>
    <w:unhideWhenUsed/>
    <w:qFormat/>
    <w:uiPriority w:val="0"/>
    <w:pPr>
      <w:tabs>
        <w:tab w:val="center" w:pos="4153"/>
        <w:tab w:val="right" w:pos="8306"/>
      </w:tabs>
      <w:snapToGrid w:val="0"/>
      <w:jc w:val="left"/>
    </w:pPr>
    <w:rPr>
      <w:sz w:val="18"/>
      <w:szCs w:val="18"/>
    </w:rPr>
  </w:style>
  <w:style w:type="paragraph" w:styleId="10">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unhideWhenUsed/>
    <w:qFormat/>
    <w:uiPriority w:val="99"/>
    <w:pPr>
      <w:widowControl/>
      <w:spacing w:before="100" w:beforeAutospacing="1" w:after="100" w:afterAutospacing="1"/>
      <w:jc w:val="left"/>
    </w:pPr>
    <w:rPr>
      <w:rFonts w:ascii="宋体" w:hAnsi="宋体" w:cs="宋体"/>
      <w:color w:val="000000"/>
      <w:kern w:val="0"/>
      <w:sz w:val="24"/>
      <w:szCs w:val="24"/>
    </w:rPr>
  </w:style>
  <w:style w:type="character" w:styleId="14">
    <w:name w:val="Strong"/>
    <w:basedOn w:val="13"/>
    <w:qFormat/>
    <w:uiPriority w:val="22"/>
    <w:rPr>
      <w:b/>
      <w:bCs/>
    </w:rPr>
  </w:style>
  <w:style w:type="character" w:styleId="15">
    <w:name w:val="page number"/>
    <w:basedOn w:val="13"/>
    <w:qFormat/>
    <w:uiPriority w:val="0"/>
  </w:style>
  <w:style w:type="paragraph" w:customStyle="1" w:styleId="16">
    <w:name w:val="Default"/>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character" w:customStyle="1" w:styleId="17">
    <w:name w:val="font91"/>
    <w:basedOn w:val="13"/>
    <w:qFormat/>
    <w:uiPriority w:val="0"/>
    <w:rPr>
      <w:rFonts w:hint="eastAsia" w:ascii="宋体" w:hAnsi="宋体" w:eastAsia="宋体" w:cs="宋体"/>
      <w:color w:val="FF0000"/>
      <w:sz w:val="20"/>
      <w:szCs w:val="20"/>
      <w:u w:val="none"/>
    </w:rPr>
  </w:style>
  <w:style w:type="character" w:customStyle="1" w:styleId="18">
    <w:name w:val="font51"/>
    <w:basedOn w:val="13"/>
    <w:qFormat/>
    <w:uiPriority w:val="0"/>
    <w:rPr>
      <w:rFonts w:hint="eastAsia" w:ascii="微软雅黑" w:hAnsi="微软雅黑" w:eastAsia="微软雅黑" w:cs="微软雅黑"/>
      <w:color w:val="000000"/>
      <w:sz w:val="18"/>
      <w:szCs w:val="18"/>
      <w:u w:val="none"/>
    </w:rPr>
  </w:style>
  <w:style w:type="character" w:customStyle="1" w:styleId="19">
    <w:name w:val="font121"/>
    <w:basedOn w:val="13"/>
    <w:qFormat/>
    <w:uiPriority w:val="0"/>
    <w:rPr>
      <w:rFonts w:hint="eastAsia" w:ascii="微软雅黑" w:hAnsi="微软雅黑" w:eastAsia="微软雅黑" w:cs="微软雅黑"/>
      <w:color w:val="FF0000"/>
      <w:sz w:val="18"/>
      <w:szCs w:val="18"/>
      <w:u w:val="none"/>
    </w:rPr>
  </w:style>
  <w:style w:type="character" w:customStyle="1" w:styleId="20">
    <w:name w:val="font131"/>
    <w:basedOn w:val="13"/>
    <w:qFormat/>
    <w:uiPriority w:val="0"/>
    <w:rPr>
      <w:rFonts w:hint="eastAsia" w:ascii="宋体" w:hAnsi="宋体" w:eastAsia="宋体" w:cs="宋体"/>
      <w:color w:val="FF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57</Pages>
  <Words>0</Words>
  <Characters>0</Characters>
  <Lines>0</Lines>
  <Paragraphs>0</Paragraphs>
  <TotalTime>0</TotalTime>
  <ScaleCrop>false</ScaleCrop>
  <LinksUpToDate>false</LinksUpToDate>
  <CharactersWithSpaces>0</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2024-06-04T07:59:39Z</dcterms:created>
  <dc:creator>user</dc:creator>
  <cp:lastModifiedBy>Richael</cp:lastModifiedBy>
  <dcterms:modified xsi:type="dcterms:W3CDTF">2024-06-04T08:08:04Z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7817FB40FF004F55A1DE32567FCAB1D3_12</vt:lpwstr>
  </property>
</Properties>
</file>